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09453">
      <w:pPr>
        <w:spacing w:line="600" w:lineRule="exact"/>
        <w:ind w:firstLine="0" w:firstLineChars="0"/>
        <w:jc w:val="center"/>
        <w:rPr>
          <w:rFonts w:hint="eastAsia" w:ascii="方正小标宋简体" w:hAnsi="宋体" w:eastAsia="方正小标宋简体"/>
          <w:color w:val="000000"/>
          <w:sz w:val="44"/>
          <w:szCs w:val="32"/>
        </w:rPr>
      </w:pPr>
      <w:r>
        <w:rPr>
          <w:rFonts w:hint="eastAsia" w:ascii="方正小标宋简体" w:hAnsi="宋体" w:eastAsia="方正小标宋简体"/>
          <w:color w:val="000000"/>
          <w:sz w:val="44"/>
          <w:szCs w:val="32"/>
        </w:rPr>
        <w:t>团体标准《横县鱼生全链条管理  第2部分：运输》（征求意见稿）编制说明</w:t>
      </w:r>
    </w:p>
    <w:p w14:paraId="5B0711D0">
      <w:pPr>
        <w:autoSpaceDE w:val="0"/>
        <w:autoSpaceDN w:val="0"/>
        <w:adjustRightInd w:val="0"/>
        <w:spacing w:before="156" w:beforeLines="50" w:after="156" w:afterLines="50"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一、任务来源、起草单位、主要起草人</w:t>
      </w:r>
    </w:p>
    <w:p w14:paraId="3943345A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根据《广西营养学会关于下达2025年第一批团体标准制修订项目计划的通知》（桂营学字〔2025〕7号）文件精神，由广西壮族自治区疾病预防控制局提出，南宁市市场监督管理信息中心、广西营养学会、横县安仔鱼生店、广西渔老表餐饮有限公司、南宁市横县鸿翔泉水鱼生态养殖有限公司、广西桂之渔农业科技有限公司、南宁市金渔水产有限公司等单位共同起草的团体标准《横县鱼生全链条管理  第2部分：运输》已获批立项。</w:t>
      </w:r>
    </w:p>
    <w:p w14:paraId="50D81F90">
      <w:pPr>
        <w:autoSpaceDE w:val="0"/>
        <w:autoSpaceDN w:val="0"/>
        <w:adjustRightInd w:val="0"/>
        <w:spacing w:before="156" w:beforeLines="50" w:after="156" w:afterLines="50"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二、制定标准的必要性和意义</w:t>
      </w:r>
    </w:p>
    <w:p w14:paraId="0E3FAC96">
      <w:pPr>
        <w:autoSpaceDE w:val="0"/>
        <w:autoSpaceDN w:val="0"/>
        <w:adjustRightInd w:val="0"/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“汴河西引黄河枝，黄流未冻鲤鱼肥。随钩出水卖都市，不惜百金持与归。我家少妇磨宝刀，破鳞奋</w:t>
      </w:r>
      <w:r>
        <w:rPr>
          <w:rFonts w:hint="eastAsia" w:ascii="宋体" w:hAnsi="宋体" w:eastAsia="宋体" w:cs="宋体"/>
          <w:szCs w:val="28"/>
        </w:rPr>
        <w:t>鬐</w:t>
      </w:r>
      <w:r>
        <w:rPr>
          <w:rFonts w:hint="eastAsia" w:ascii="仿宋_GB2312" w:hAnsi="仿宋_GB2312" w:cs="仿宋_GB2312"/>
          <w:szCs w:val="28"/>
        </w:rPr>
        <w:t>如欲飞。萧萧云叶落盘面</w:t>
      </w:r>
      <w:r>
        <w:rPr>
          <w:rFonts w:hint="eastAsia" w:ascii="仿宋_GB2312" w:hAnsi="宋体"/>
          <w:szCs w:val="28"/>
        </w:rPr>
        <w:t>，粟粟霜卜为缕衣。楚橙作齑香出屋，宾朋竞至排入扉。呼儿便索沃腥酒，倒肠饫腹无相讥。逡巡瓶竭上马去，意气不说西山薇。”，这是宋代诗人梅尧臣创作的一首描写鱼生制作与宴客场景的诗。诗中生动描绘了鱼生的制作过程以及宾主尽欢的宴饮情景，展现了宋代文人生活的精致与风雅。现代鱼生制作十分注重刀工与配料，梅尧臣诗中的“破鳞奋</w:t>
      </w:r>
      <w:r>
        <w:rPr>
          <w:rFonts w:hint="eastAsia" w:ascii="宋体" w:hAnsi="宋体" w:eastAsia="宋体" w:cs="宋体"/>
          <w:szCs w:val="28"/>
        </w:rPr>
        <w:t>鬐</w:t>
      </w:r>
      <w:r>
        <w:rPr>
          <w:rFonts w:hint="eastAsia" w:ascii="仿宋_GB2312" w:hAnsi="仿宋_GB2312" w:cs="仿宋_GB2312"/>
          <w:szCs w:val="28"/>
        </w:rPr>
        <w:t>如欲飞”与“萧萧云叶落盘面”正是这种技艺的生动写照</w:t>
      </w:r>
      <w:r>
        <w:rPr>
          <w:rFonts w:hint="eastAsia" w:ascii="仿宋_GB2312" w:hAnsi="宋体"/>
          <w:szCs w:val="28"/>
        </w:rPr>
        <w:t>；鱼生文化在宋代达到鼎盛，后传入日本并发展为刺身文化；横县鱼生不仅是美食，更是文化符号。梅尧臣的诗作为鱼生文化提供了重要的历史见证。</w:t>
      </w:r>
    </w:p>
    <w:p w14:paraId="3BCC9EBB">
      <w:pPr>
        <w:autoSpaceDE w:val="0"/>
        <w:autoSpaceDN w:val="0"/>
        <w:adjustRightInd w:val="0"/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广西横县食鱼生的习俗可追测至明朝，在《横县志书》，《宁明县志》等古籍中均有记载；在《徐霞客游记·粤西游日记三》中曾经提到“乃取巨鱼细切为脍，置大碗中，以葱及姜丝与盐，醋拌而食之，以为至味”；在清朝的《横县志》中，提到“剖活鱼细切，备辛香、蔬、酶下箸拌食”；在近现代《壮族通史》中也提到“将鲜嫩三五斤的大鱼，剥去其皮，除去大小骨头，切成薄片，拌以香油、盐、葱、蒜、姜等作料”，与之前记录无明显差异，能够说明横县食鱼生习俗得到了较好传承。横县食鱼生的习俗具体起源于何年，依然有待历史考证。但从《横县志》记载的民间传说来看，是晋朝洛阳逸士董京隐居时遇仙后得到的鱼生制作手法，在当地发展成为风流韵事。由于历史悠久，同时讲究刀工精细和精致造型，需要做到巧妙配料，拥有独特口味，鱼生被冠以横县“县菜”。而且在《山林县志》中提到，“佳日...视鱼生为商品佳肴”，《平南县志》中提到”鱼生习俗….招待客人，还认为是特种上等菜肴”。鱼生在当地代表饮食最高水平，在招待贵客时被看成是最高规格。横县鱼生之所以久负盛名，与其美妙的口味、做法独特的工艺、选配料的精细有着密切的关系；横县鱼生制作精巧令人拍案叫绝，盈尺之鱼，出水欲飞，去鳞、脱皮、起骨，游刃有余，一气呵成，鱼生配料，五光十色，美轮美奂。</w:t>
      </w:r>
    </w:p>
    <w:p w14:paraId="33F2342A">
      <w:pPr>
        <w:autoSpaceDE w:val="0"/>
        <w:autoSpaceDN w:val="0"/>
        <w:adjustRightInd w:val="0"/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横县鱼生在“种、劲、白、薄、厚、鲜”这六个字上，下足了“特色”功夫。种：吃鱼生要选好鱼的品种。花鱼、青竹鱼、桂花鱼、草鱼、鲤鱼、鲮鱼等皆可加工鱼生。劲：就是鱼肉要结实强劲，有嚼头。鱼的肌肉质量对鱼生而言至为关键，它决定鱼肉口感。鱼肉强劲，则口舌生汁，越嚼越有味道。若鱼肉羸弱如败絮，则无法体会到咀嚼的快感，自然味如嚼蜡。白：就是鱼肉莹白如雪、玲珑可观，鱼肉的肌肤纹理，纤毫毕见。要白就要把血放干净，最佳者割腮，割腮后继续放入水中，这样鱼不会马上死去而是在水中放血，几分钟后，血尽鱼亡，鱼肉就会莹白如雪，玉色逼人。薄：鱼片要切得薄如蝉翼，才容易入味。要想切薄片，须准备一把极为锋利的刀，左手拇指、食指压住鱼肉，右手把刀，刀与鱼肉呈45°夹角，刃面朝向砧板，看准部位，一刀斜切，片羽滑落，可得薄片。厚：调料的种类一定要丰富厚重，才能压住腥味，才能体会到鱼生的鲜美可口。葱、姜、蒜末、头菜、鱼生菜、辣椒、油、盐、酱、醋是必不可少的基本配料，横县鱼生更在这些基础上加入横县独特的木瓜丁，柠檬、柠檬叶、洋葱、辣丁根、炸芋头丝等二十多种，再配上横县本地花生油、生抽、胡椒粉总共三十多种生鲜猛料，共同淘冶鱼生片。鲜：夹一大把生鲜猛料，包一片鱼生，放入口中，香辣酸鲜，浓香冲鼻，嗅觉极度震撼，味蕾大受刺激，顿时口舌生津。</w:t>
      </w:r>
    </w:p>
    <w:p w14:paraId="6DC80CFE">
      <w:pPr>
        <w:autoSpaceDE w:val="0"/>
        <w:autoSpaceDN w:val="0"/>
        <w:adjustRightInd w:val="0"/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饮食文化作为一种地方文化，能够得到传承发扬，与经济发展密切相关。伴随着横县经济的快速发展，鱼生文化也开始向着健康化、市场化的方向发展，成为当地独特文化资源，为推动地方饮食行业发展做出贡献。在淡水养殖业发展基础上，鱼生市场逐步形成，鱼生饭店、鱼生餐馆纷纷出现，促使鱼生制作行业逐步发展壮大。随着人民生活水平不断提升，对食品安全提出了更高的要求。面对食用鱼生也有各种负面报道，为保证特色鱼生文化得到发展，横县相关部门制定了鱼生制作技艺保护计划，明确各责任主体。通过各方的努力，鱼生文化习俗将得到了很好保留，在满足横县人食鱼生需求的同时，带动了地区经济的发展，成为了当地备受推崇的特色文化。然而，随着市场需求的增加，鱼生行业在原料采购、加工制作、储存运输等环节存在一定的安全隐患和管理漏洞。为确保横县鱼生的食品安全和质量，提升行业整体水平，制定一套全链条管理规范团体标准十分紧迫和必要。</w:t>
      </w:r>
    </w:p>
    <w:p w14:paraId="2EA74F08">
      <w:pPr>
        <w:autoSpaceDE w:val="0"/>
        <w:autoSpaceDN w:val="0"/>
        <w:adjustRightInd w:val="0"/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横县鱼生全链条管理规范团体标准的制定和实施，将有助于提升横县鱼生的食品安全和质量，推动行业的规范化、规模化发展。通过全链条的标准化管理，横县鱼生将能够在激烈的市场竞争中脱颖而出，成为消费者信赖的品牌。</w:t>
      </w:r>
    </w:p>
    <w:p w14:paraId="638FA8F7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三、主要起草过程</w:t>
      </w:r>
    </w:p>
    <w:p w14:paraId="1951FB60">
      <w:pPr>
        <w:spacing w:line="560" w:lineRule="exact"/>
        <w:ind w:firstLine="643"/>
        <w:rPr>
          <w:rFonts w:hint="eastAsia" w:ascii="楷体" w:hAnsi="楷体" w:eastAsia="楷体"/>
          <w:szCs w:val="28"/>
        </w:rPr>
      </w:pPr>
      <w:r>
        <w:rPr>
          <w:rFonts w:hint="eastAsia" w:ascii="楷体" w:hAnsi="楷体" w:eastAsia="楷体" w:cs="仿宋_GB2312"/>
          <w:b/>
          <w:szCs w:val="28"/>
        </w:rPr>
        <w:t>（一）成立标准编制工作组</w:t>
      </w:r>
    </w:p>
    <w:p w14:paraId="79255E13">
      <w:pPr>
        <w:ind w:firstLine="640"/>
      </w:pPr>
      <w:r>
        <w:rPr>
          <w:rFonts w:hint="eastAsia" w:ascii="仿宋_GB2312" w:hAnsi="宋体"/>
          <w:szCs w:val="28"/>
        </w:rPr>
        <w:t>团体标准《横县鱼生全链条管理 第2部分：运输》项目任务下达后，南宁市市场监督管理信息中心、广西营养学会、横县安仔鱼生店、广西渔老表餐饮有限公司、南宁市横县鸿翔泉水鱼生态养殖有限公司、广西桂之渔农业科技有限公司、南宁市金渔水产有限公司等成立了标准编制工作组，起草单位制定了起草编写方案与进度安排，明确任务职责，确定工作技术路线，开展标准研制工作。具体标准编制工作由</w:t>
      </w:r>
      <w:r>
        <w:rPr>
          <w:rFonts w:hint="eastAsia" w:ascii="宋体" w:hAnsi="宋体"/>
        </w:rPr>
        <w:t>南宁市市场监督管理信息中心、广西营养学会、横县安仔鱼生店、广西渔老表餐饮有限公司、南宁市横县鸿翔泉水鱼生态养殖有限公司、广西桂之渔农业科技有限公司、南宁市金渔水产有限公司等</w:t>
      </w:r>
      <w:r>
        <w:rPr>
          <w:rFonts w:hint="eastAsia" w:ascii="仿宋_GB2312" w:hAnsi="宋体"/>
          <w:szCs w:val="28"/>
        </w:rPr>
        <w:t>单位负责人组成的标准编制工作组完成。</w:t>
      </w:r>
    </w:p>
    <w:p w14:paraId="2996F4B1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编制工作组下设三个组，分别是资料收集组、草案编写组、标准实施组。</w:t>
      </w:r>
    </w:p>
    <w:p w14:paraId="1F35F276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资料收集组负责国内外有关横县鱼生运输管理的文献资料的查询、收集和整理工作，查阅前人对横县鱼生运输管理的研究情况。</w:t>
      </w:r>
    </w:p>
    <w:p w14:paraId="73A34945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草案编写组负责起草标准草案、征求意见稿和标准编制说明、送审稿及编制说明的编写工作，包括后期召开征求意见会、网上征求意见，以及标准的不断修改和完善。</w:t>
      </w:r>
    </w:p>
    <w:p w14:paraId="5A3EC2F1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标准实施组负责团体标准《横县鱼生全链条管理 第2部分：运输》发布后，组织相关单位开展标准宣贯培训会，对标准进行详细解读，让相关人员了解标准，并根据标准对横县鱼生运输管理进行规范化操作，并对标准实施情况进行总结分析，不断对团体标准提出修正意见。</w:t>
      </w:r>
    </w:p>
    <w:p w14:paraId="34C98087">
      <w:pPr>
        <w:spacing w:line="560" w:lineRule="exact"/>
        <w:ind w:firstLine="643"/>
        <w:rPr>
          <w:rFonts w:hint="eastAsia" w:ascii="楷体" w:hAnsi="楷体" w:eastAsia="楷体" w:cs="仿宋_GB2312"/>
          <w:b/>
          <w:szCs w:val="28"/>
        </w:rPr>
      </w:pPr>
      <w:r>
        <w:rPr>
          <w:rFonts w:hint="eastAsia" w:ascii="楷体" w:hAnsi="楷体" w:eastAsia="楷体" w:cs="仿宋_GB2312"/>
          <w:b/>
          <w:szCs w:val="28"/>
        </w:rPr>
        <w:t>（二）收集整理文献资料</w:t>
      </w:r>
    </w:p>
    <w:p w14:paraId="315480E1">
      <w:pPr>
        <w:ind w:firstLine="640"/>
        <w:rPr>
          <w:rFonts w:hint="eastAsia" w:ascii="仿宋_GB2312" w:hAnsi="宋体"/>
          <w:szCs w:val="28"/>
          <w:lang w:val="fr-FR"/>
        </w:rPr>
      </w:pPr>
      <w:r>
        <w:rPr>
          <w:rFonts w:hint="eastAsia" w:ascii="仿宋_GB2312" w:hAnsi="宋体"/>
          <w:szCs w:val="28"/>
        </w:rPr>
        <w:t>标准编制工作组收集了国内有关鱼生运输管理相关资料。主要有</w:t>
      </w:r>
      <w:r>
        <w:rPr>
          <w:rFonts w:hint="eastAsia" w:ascii="仿宋_GB2312" w:hAnsi="宋体"/>
          <w:szCs w:val="28"/>
          <w:lang w:val="fr-FR"/>
        </w:rPr>
        <w:t>：</w:t>
      </w:r>
    </w:p>
    <w:p w14:paraId="11E0F64E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GB/T 36192-2024  活水产品运输技术规范</w:t>
      </w:r>
    </w:p>
    <w:p w14:paraId="7E55DB82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GB/T 24861-2024  水产品流通管理技术规范</w:t>
      </w:r>
    </w:p>
    <w:p w14:paraId="3ED30DE0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SN T 1885.2-2007  进出口水产品储运卫生规范  第2部分：水产品运输</w:t>
      </w:r>
    </w:p>
    <w:p w14:paraId="41C829C2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GB/T 27638-2011  活鱼运输技术规范</w:t>
      </w:r>
    </w:p>
    <w:p w14:paraId="36F6DA15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DB45 T 1695-2018  水产品冷链专列运输操作规范</w:t>
      </w:r>
    </w:p>
    <w:p w14:paraId="371932F8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GB T 26544-2011 水产品航空运输包装通用要求</w:t>
      </w:r>
    </w:p>
    <w:p w14:paraId="5CC517AD">
      <w:pPr>
        <w:spacing w:line="560" w:lineRule="exact"/>
        <w:ind w:firstLine="643"/>
        <w:rPr>
          <w:rFonts w:hint="eastAsia" w:ascii="楷体" w:hAnsi="楷体" w:eastAsia="楷体" w:cs="仿宋_GB2312"/>
          <w:b/>
          <w:szCs w:val="28"/>
        </w:rPr>
      </w:pPr>
      <w:r>
        <w:rPr>
          <w:rFonts w:hint="eastAsia" w:ascii="楷体" w:hAnsi="楷体" w:eastAsia="楷体" w:cs="仿宋_GB2312"/>
          <w:b/>
          <w:szCs w:val="28"/>
        </w:rPr>
        <w:t>（三）研讨确定标准特色、创新点和主要内容</w:t>
      </w:r>
    </w:p>
    <w:p w14:paraId="102A41E9">
      <w:pPr>
        <w:spacing w:line="560" w:lineRule="exact"/>
        <w:ind w:firstLine="640"/>
        <w:rPr>
          <w:rFonts w:hint="eastAsia" w:ascii="楷体" w:hAnsi="楷体" w:eastAsia="楷体" w:cs="仿宋_GB2312"/>
          <w:b/>
          <w:szCs w:val="28"/>
          <w:highlight w:val="none"/>
        </w:rPr>
      </w:pPr>
      <w:r>
        <w:rPr>
          <w:rFonts w:hint="eastAsia" w:ascii="仿宋_GB2312" w:hAnsi="宋体"/>
          <w:szCs w:val="28"/>
        </w:rPr>
        <w:t>标准编制工作组在对收集的资料进行整理研究之后，2025年5月，标准编制工作组召开了标准编制会议，对标准的整体框架结构进行了研究，并对标准的关键性内容进行了初步探讨。经过研究，</w:t>
      </w:r>
      <w:r>
        <w:rPr>
          <w:rFonts w:hint="eastAsia" w:ascii="仿宋_GB2312" w:hAnsi="宋体"/>
          <w:szCs w:val="28"/>
          <w:highlight w:val="none"/>
        </w:rPr>
        <w:t>标准的主体内容为</w:t>
      </w:r>
      <w:bookmarkStart w:id="0" w:name="OLE_LINK3"/>
      <w:bookmarkStart w:id="1" w:name="OLE_LINK4"/>
      <w:r>
        <w:rPr>
          <w:rFonts w:hint="eastAsia" w:ascii="仿宋_GB2312" w:hAnsi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基本要求、</w:t>
      </w:r>
      <w:bookmarkEnd w:id="0"/>
      <w:bookmarkEnd w:id="1"/>
      <w:r>
        <w:rPr>
          <w:rFonts w:hint="eastAsia" w:ascii="仿宋_GB2312" w:hAnsi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横县鱼生用鱼运输要求、</w:t>
      </w:r>
      <w:bookmarkStart w:id="2" w:name="OLE_LINK7"/>
      <w:bookmarkStart w:id="3" w:name="OLE_LINK26"/>
      <w:bookmarkStart w:id="4" w:name="_Toc207285738"/>
      <w:bookmarkStart w:id="5" w:name="OLE_LINK5"/>
      <w:bookmarkStart w:id="6" w:name="_Toc207213873"/>
      <w:bookmarkStart w:id="7" w:name="_Toc206588619"/>
      <w:bookmarkStart w:id="8" w:name="_Toc207294318"/>
      <w:r>
        <w:rPr>
          <w:snapToGrid w:val="0"/>
          <w:highlight w:val="none"/>
        </w:rPr>
        <w:t>特色</w:t>
      </w:r>
      <w:r>
        <w:rPr>
          <w:rFonts w:hint="eastAsia"/>
          <w:snapToGrid w:val="0"/>
          <w:highlight w:val="none"/>
        </w:rPr>
        <w:t>辅料</w:t>
      </w:r>
      <w:bookmarkEnd w:id="2"/>
      <w:bookmarkEnd w:id="3"/>
      <w:r>
        <w:rPr>
          <w:snapToGrid w:val="0"/>
          <w:highlight w:val="none"/>
        </w:rPr>
        <w:t>运输要求</w:t>
      </w:r>
      <w:bookmarkEnd w:id="4"/>
      <w:bookmarkEnd w:id="5"/>
      <w:bookmarkEnd w:id="6"/>
      <w:bookmarkEnd w:id="7"/>
      <w:bookmarkEnd w:id="8"/>
      <w:r>
        <w:rPr>
          <w:rFonts w:hint="eastAsia"/>
          <w:snapToGrid w:val="0"/>
          <w:highlight w:val="none"/>
        </w:rPr>
        <w:t>、卸载与交接要求、应急处理</w:t>
      </w:r>
      <w:r>
        <w:rPr>
          <w:rFonts w:hint="eastAsia" w:ascii="仿宋_GB2312" w:hAnsi="宋体"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。标准的核心技术及创新点在于：</w:t>
      </w:r>
    </w:p>
    <w:p w14:paraId="402F3700">
      <w:pPr>
        <w:tabs>
          <w:tab w:val="center" w:pos="4201"/>
          <w:tab w:val="right" w:leader="dot" w:pos="9298"/>
        </w:tabs>
        <w:autoSpaceDE w:val="0"/>
        <w:autoSpaceDN w:val="0"/>
        <w:ind w:firstLine="640"/>
        <w:outlineLvl w:val="2"/>
        <w:rPr>
          <w:rFonts w:eastAsia="仿宋"/>
          <w:bCs/>
          <w:kern w:val="0"/>
          <w:szCs w:val="32"/>
          <w:highlight w:val="none"/>
        </w:rPr>
      </w:pPr>
      <w:r>
        <w:rPr>
          <w:rFonts w:hint="eastAsia" w:eastAsia="仿宋"/>
          <w:bCs/>
          <w:kern w:val="0"/>
          <w:szCs w:val="32"/>
          <w:highlight w:val="none"/>
        </w:rPr>
        <w:t>（1）针对赤眼鳟、青竹鱼等七种核心横县鱼生专用鱼运输的细化操作进行细化；</w:t>
      </w:r>
    </w:p>
    <w:p w14:paraId="6E5DCD0B">
      <w:pPr>
        <w:tabs>
          <w:tab w:val="center" w:pos="4201"/>
          <w:tab w:val="right" w:leader="dot" w:pos="9298"/>
        </w:tabs>
        <w:autoSpaceDE w:val="0"/>
        <w:autoSpaceDN w:val="0"/>
        <w:ind w:firstLine="640"/>
        <w:outlineLvl w:val="2"/>
        <w:rPr>
          <w:rFonts w:eastAsia="仿宋"/>
          <w:bCs/>
          <w:kern w:val="0"/>
          <w:szCs w:val="32"/>
          <w:highlight w:val="none"/>
        </w:rPr>
      </w:pPr>
      <w:r>
        <w:rPr>
          <w:rFonts w:hint="eastAsia" w:eastAsia="仿宋"/>
          <w:bCs/>
          <w:kern w:val="0"/>
          <w:szCs w:val="32"/>
          <w:highlight w:val="none"/>
        </w:rPr>
        <w:t>（2）围绕横县鱼生专用鱼要达到的感官要求和无螺、无虫（肝吸虫囊蚴）、无渔药滥用、无饲喂违禁药品在运输过程的运前准备、运输环境控制和运输注意事项等要求突出细化的核心技术。</w:t>
      </w:r>
    </w:p>
    <w:p w14:paraId="1F901B3B">
      <w:pPr>
        <w:tabs>
          <w:tab w:val="center" w:pos="4201"/>
          <w:tab w:val="right" w:leader="dot" w:pos="9298"/>
        </w:tabs>
        <w:autoSpaceDE w:val="0"/>
        <w:autoSpaceDN w:val="0"/>
        <w:ind w:firstLine="640"/>
        <w:outlineLvl w:val="2"/>
        <w:rPr>
          <w:rFonts w:ascii="仿宋_GB2312" w:hAnsi="宋体"/>
          <w:szCs w:val="32"/>
          <w:highlight w:val="none"/>
        </w:rPr>
      </w:pPr>
      <w:r>
        <w:rPr>
          <w:rFonts w:hint="eastAsia" w:ascii="仿宋_GB2312" w:hAnsi="宋体"/>
          <w:szCs w:val="32"/>
          <w:highlight w:val="none"/>
        </w:rPr>
        <w:t>（3）</w:t>
      </w:r>
      <w:bookmarkStart w:id="15" w:name="_GoBack"/>
      <w:bookmarkEnd w:id="15"/>
      <w:r>
        <w:rPr>
          <w:rFonts w:hint="eastAsia" w:ascii="仿宋_GB2312" w:hAnsi="宋体"/>
          <w:szCs w:val="32"/>
          <w:highlight w:val="none"/>
        </w:rPr>
        <w:t>新增了特色配菜的运输管理。横县鱼生以多达20余种配料构建风味矩阵：紫苏、薄荷、木瓜丝、酸荞头、柠檬叶、鱼腥草等切如发丝，搭配本地花生油、生抽、胡椒粉调制的蘸料。这种“包卷式”吃法（夹配料裹鱼片入口）形成香辣酸鲜的复合冲击，被形容“如品人生百味”。横县鱼生对配菜的管理要求较高。本标准将特色配菜分为：</w:t>
      </w:r>
      <w:r>
        <w:rPr>
          <w:rFonts w:hint="eastAsia"/>
          <w:highlight w:val="none"/>
        </w:rPr>
        <w:t>生鲜植物类辅料（青料）、腌制及发酵制品、调味品</w:t>
      </w:r>
      <w:r>
        <w:rPr>
          <w:rFonts w:hint="eastAsia" w:ascii="仿宋_GB2312" w:hAnsi="宋体"/>
          <w:szCs w:val="32"/>
          <w:highlight w:val="none"/>
        </w:rPr>
        <w:t>进行运输条件要求的规定。</w:t>
      </w:r>
    </w:p>
    <w:p w14:paraId="3975E6F9">
      <w:pPr>
        <w:tabs>
          <w:tab w:val="center" w:pos="4201"/>
          <w:tab w:val="right" w:leader="dot" w:pos="9298"/>
        </w:tabs>
        <w:autoSpaceDE w:val="0"/>
        <w:autoSpaceDN w:val="0"/>
        <w:ind w:firstLine="640"/>
        <w:outlineLvl w:val="2"/>
        <w:rPr>
          <w:rFonts w:hint="eastAsia" w:eastAsia="仿宋"/>
          <w:bCs/>
          <w:kern w:val="0"/>
          <w:szCs w:val="32"/>
          <w:highlight w:val="none"/>
        </w:rPr>
      </w:pPr>
      <w:r>
        <w:rPr>
          <w:rFonts w:hint="eastAsia" w:ascii="仿宋_GB2312" w:hAnsi="宋体"/>
          <w:szCs w:val="32"/>
          <w:highlight w:val="none"/>
        </w:rPr>
        <w:t>（4）强调了鱼生用鱼以及特色辅料的装卸操作和交接要求。</w:t>
      </w:r>
    </w:p>
    <w:p w14:paraId="76716033">
      <w:pPr>
        <w:spacing w:line="560" w:lineRule="exact"/>
        <w:ind w:firstLine="643"/>
        <w:rPr>
          <w:rFonts w:hint="eastAsia" w:ascii="楷体" w:hAnsi="楷体" w:eastAsia="楷体" w:cs="仿宋_GB2312"/>
          <w:b/>
          <w:szCs w:val="28"/>
        </w:rPr>
      </w:pPr>
      <w:r>
        <w:rPr>
          <w:rFonts w:hint="eastAsia" w:ascii="楷体" w:hAnsi="楷体" w:eastAsia="楷体" w:cs="仿宋_GB2312"/>
          <w:b/>
          <w:szCs w:val="28"/>
        </w:rPr>
        <w:t>（四）调研及形成草案、征求意见稿</w:t>
      </w:r>
    </w:p>
    <w:p w14:paraId="76848673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2025年5月，标准起草工作小组到广西余师傅餐饮有限公司、横县安仔鱼生店、广西渔老表餐饮有限公司、南宁市横县鸿翔泉水鱼生态养殖有限公司、广西桂之渔农业科技有限公司、南宁市金渔水产有限公司等企业进行了广泛调研工作，查阅了大量的国内外文献资料，对横县鱼生运输管理的前人研究成果进行系统总结。形成了标准的基本构架，对主要内容进行了讨论并对项目的工作进行了部署和安排。</w:t>
      </w:r>
    </w:p>
    <w:p w14:paraId="5526E8C8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2025年6月，在前期工作的基础之上，通过理清逻辑脉络，整合已有的参考资料中有关横县鱼生运输要求，并结合横县鱼生运输实际要求的基础上，按照简化、统一等原则编制完成团体标准《横县鱼生全链条管理  第2部分：运输》（草案）。</w:t>
      </w:r>
    </w:p>
    <w:p w14:paraId="50BD1600">
      <w:pPr>
        <w:autoSpaceDE w:val="0"/>
        <w:autoSpaceDN w:val="0"/>
        <w:adjustRightInd w:val="0"/>
        <w:spacing w:line="60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2025年7月，标准起草工作组组织广西余师傅餐饮有限公司、横县安仔鱼生店、广西渔老表餐饮有限公司、南宁市横县鸿翔泉水鱼生态养殖有限公司、广西桂之渔农业科技有限公司、南宁市金渔水产有限公司等相关企业进行调研，并实际征求意见，通过收集反馈了大量意见，标准编制工作组多次召开会议，对标准草案进行了反复修改和研究讨论。进一步讨论完善标准草案，形成团体标准《横县鱼生全链条管理  第2部分：运输》（征求意见稿）和（征求意见稿）编制说明。</w:t>
      </w:r>
    </w:p>
    <w:p w14:paraId="0101D393">
      <w:pPr>
        <w:autoSpaceDE w:val="0"/>
        <w:autoSpaceDN w:val="0"/>
        <w:adjustRightInd w:val="0"/>
        <w:ind w:firstLine="640"/>
        <w:jc w:val="left"/>
        <w:rPr>
          <w:rFonts w:eastAsia="黑体"/>
          <w:bCs/>
          <w:szCs w:val="32"/>
        </w:rPr>
      </w:pPr>
      <w:bookmarkStart w:id="9" w:name="_Toc526940083"/>
      <w:r>
        <w:rPr>
          <w:rFonts w:eastAsia="黑体"/>
          <w:bCs/>
          <w:szCs w:val="32"/>
        </w:rPr>
        <w:t>四、</w:t>
      </w:r>
      <w:bookmarkEnd w:id="9"/>
      <w:r>
        <w:rPr>
          <w:rFonts w:eastAsia="黑体"/>
          <w:bCs/>
          <w:szCs w:val="32"/>
        </w:rPr>
        <w:t>制定标准的原则和依据，与现行法律、法规的关系，与有关国家标准、行业标准的协调情况</w:t>
      </w:r>
    </w:p>
    <w:p w14:paraId="3E1E4C26">
      <w:pPr>
        <w:pStyle w:val="13"/>
        <w:spacing w:line="560" w:lineRule="exact"/>
        <w:ind w:firstLine="0" w:firstLineChars="0"/>
        <w:outlineLvl w:val="1"/>
        <w:rPr>
          <w:rFonts w:ascii="Times New Roman" w:eastAsia="仿宋"/>
          <w:b/>
          <w:bCs/>
          <w:sz w:val="32"/>
          <w:szCs w:val="32"/>
        </w:rPr>
      </w:pPr>
      <w:r>
        <w:rPr>
          <w:rFonts w:ascii="Times New Roman" w:eastAsia="仿宋"/>
          <w:b/>
          <w:bCs/>
          <w:sz w:val="32"/>
          <w:szCs w:val="32"/>
        </w:rPr>
        <w:t>（一）编制原则</w:t>
      </w:r>
    </w:p>
    <w:p w14:paraId="2B5C2BEB">
      <w:pPr>
        <w:tabs>
          <w:tab w:val="center" w:pos="4201"/>
          <w:tab w:val="right" w:leader="dot" w:pos="9298"/>
        </w:tabs>
        <w:autoSpaceDE w:val="0"/>
        <w:autoSpaceDN w:val="0"/>
        <w:ind w:firstLine="643"/>
        <w:outlineLvl w:val="2"/>
        <w:rPr>
          <w:rFonts w:eastAsia="仿宋"/>
          <w:b/>
          <w:bCs/>
          <w:kern w:val="0"/>
          <w:szCs w:val="32"/>
        </w:rPr>
      </w:pPr>
      <w:r>
        <w:rPr>
          <w:rFonts w:eastAsia="仿宋"/>
          <w:b/>
          <w:bCs/>
          <w:kern w:val="0"/>
          <w:szCs w:val="32"/>
        </w:rPr>
        <w:t>1</w:t>
      </w:r>
      <w:r>
        <w:rPr>
          <w:rFonts w:hint="eastAsia" w:eastAsia="仿宋"/>
          <w:b/>
          <w:bCs/>
          <w:kern w:val="0"/>
          <w:szCs w:val="32"/>
        </w:rPr>
        <w:t>．</w:t>
      </w:r>
      <w:r>
        <w:rPr>
          <w:rFonts w:eastAsia="仿宋"/>
          <w:b/>
          <w:bCs/>
          <w:kern w:val="0"/>
          <w:szCs w:val="32"/>
        </w:rPr>
        <w:t>实用性原则</w:t>
      </w:r>
    </w:p>
    <w:p w14:paraId="0A0D9AB6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本文件是在充分收集相关资料和文献，分析横县鱼生运输管理当前现状，在现有相关横县鱼生运输要求的基础上，结合编制单位</w:t>
      </w:r>
      <w:r>
        <w:rPr>
          <w:rFonts w:ascii="仿宋_GB2312" w:hAnsi="宋体"/>
          <w:szCs w:val="28"/>
        </w:rPr>
        <w:t>多年</w:t>
      </w:r>
      <w:r>
        <w:rPr>
          <w:rFonts w:hint="eastAsia" w:ascii="仿宋_GB2312" w:hAnsi="宋体"/>
          <w:szCs w:val="28"/>
        </w:rPr>
        <w:t>相关经验而总结起草的，符合当前横县鱼生运输发展的方向，具有较强的实用性和可操作性。</w:t>
      </w:r>
    </w:p>
    <w:p w14:paraId="46F4DE68">
      <w:pPr>
        <w:tabs>
          <w:tab w:val="center" w:pos="4201"/>
          <w:tab w:val="right" w:leader="dot" w:pos="9298"/>
        </w:tabs>
        <w:autoSpaceDE w:val="0"/>
        <w:autoSpaceDN w:val="0"/>
        <w:ind w:firstLine="643"/>
        <w:outlineLvl w:val="2"/>
        <w:rPr>
          <w:rFonts w:eastAsia="仿宋"/>
          <w:b/>
          <w:bCs/>
          <w:kern w:val="0"/>
          <w:szCs w:val="32"/>
        </w:rPr>
      </w:pPr>
      <w:r>
        <w:rPr>
          <w:rFonts w:hint="eastAsia" w:eastAsia="仿宋"/>
          <w:b/>
          <w:bCs/>
          <w:kern w:val="0"/>
          <w:szCs w:val="32"/>
        </w:rPr>
        <w:t>2．协调性原则</w:t>
      </w:r>
    </w:p>
    <w:p w14:paraId="3B050EA7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本文件编写过程中注意了与横县鱼生运输相关法律法规的协调问题，在内容上与现行法律法规、标准协调一致。</w:t>
      </w:r>
    </w:p>
    <w:p w14:paraId="4C0FF276">
      <w:pPr>
        <w:tabs>
          <w:tab w:val="center" w:pos="4201"/>
          <w:tab w:val="right" w:leader="dot" w:pos="9298"/>
        </w:tabs>
        <w:autoSpaceDE w:val="0"/>
        <w:autoSpaceDN w:val="0"/>
        <w:ind w:firstLine="643"/>
        <w:outlineLvl w:val="2"/>
        <w:rPr>
          <w:rFonts w:eastAsia="仿宋"/>
          <w:b/>
          <w:bCs/>
          <w:kern w:val="0"/>
          <w:szCs w:val="32"/>
        </w:rPr>
      </w:pPr>
      <w:r>
        <w:rPr>
          <w:rFonts w:hint="eastAsia" w:eastAsia="仿宋"/>
          <w:b/>
          <w:bCs/>
          <w:kern w:val="0"/>
          <w:szCs w:val="32"/>
        </w:rPr>
        <w:t>3．规范性原则</w:t>
      </w:r>
    </w:p>
    <w:p w14:paraId="1AD571E2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本文件严格参照GB/T 1.1—2020《标准化工作导则  第1部分：标准化文件的结构和起草规则》编写本标准的内容，保证标准的编写质量。</w:t>
      </w:r>
    </w:p>
    <w:p w14:paraId="097EBCDA">
      <w:pPr>
        <w:tabs>
          <w:tab w:val="center" w:pos="4201"/>
          <w:tab w:val="right" w:leader="dot" w:pos="9298"/>
        </w:tabs>
        <w:autoSpaceDE w:val="0"/>
        <w:autoSpaceDN w:val="0"/>
        <w:ind w:firstLine="643"/>
        <w:outlineLvl w:val="2"/>
        <w:rPr>
          <w:rFonts w:eastAsia="仿宋"/>
          <w:b/>
          <w:bCs/>
          <w:kern w:val="0"/>
          <w:szCs w:val="32"/>
        </w:rPr>
      </w:pPr>
      <w:r>
        <w:rPr>
          <w:rFonts w:hint="eastAsia" w:eastAsia="仿宋"/>
          <w:b/>
          <w:bCs/>
          <w:kern w:val="0"/>
          <w:szCs w:val="32"/>
        </w:rPr>
        <w:t>4．前瞻性原则</w:t>
      </w:r>
    </w:p>
    <w:p w14:paraId="5E1FB130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本文件在兼顾当前区内横县鱼生全链条管理  第2部分：运输现实情况的同时，还考虑到了横县鱼生运输快速发展的趋势和需要，在标准中体现了个别特色性、前瞻性和先进性条款，作为对横县鱼生运输管理的指导。</w:t>
      </w:r>
    </w:p>
    <w:p w14:paraId="00DD6EE9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="643"/>
        <w:outlineLvl w:val="1"/>
        <w:rPr>
          <w:rFonts w:eastAsia="仿宋"/>
          <w:b/>
          <w:bCs/>
          <w:kern w:val="0"/>
          <w:szCs w:val="32"/>
        </w:rPr>
      </w:pPr>
      <w:r>
        <w:rPr>
          <w:rFonts w:eastAsia="仿宋"/>
          <w:b/>
          <w:bCs/>
          <w:kern w:val="0"/>
          <w:szCs w:val="32"/>
        </w:rPr>
        <w:t>（二）编制依据</w:t>
      </w:r>
    </w:p>
    <w:p w14:paraId="49F48668">
      <w:pPr>
        <w:ind w:firstLine="640"/>
        <w:rPr>
          <w:rFonts w:eastAsia="仿宋"/>
          <w:szCs w:val="32"/>
        </w:rPr>
      </w:pPr>
      <w:r>
        <w:rPr>
          <w:rFonts w:eastAsia="仿宋"/>
          <w:szCs w:val="32"/>
        </w:rPr>
        <w:t>本标准严格按照GB/T 1.1—2020《标准化工作导则  第1部分：标准化文件的结构和起草规则》的规则起草，标准主要内容参考相关标准文件并结合</w:t>
      </w:r>
      <w:r>
        <w:rPr>
          <w:rFonts w:hint="eastAsia" w:eastAsia="仿宋"/>
          <w:szCs w:val="32"/>
        </w:rPr>
        <w:t>实践</w:t>
      </w:r>
      <w:r>
        <w:rPr>
          <w:rFonts w:eastAsia="仿宋"/>
          <w:szCs w:val="32"/>
        </w:rPr>
        <w:t>验证情况总结进行起草。</w:t>
      </w:r>
    </w:p>
    <w:p w14:paraId="44D5329A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="643"/>
        <w:outlineLvl w:val="1"/>
        <w:rPr>
          <w:rFonts w:eastAsia="仿宋"/>
          <w:b/>
          <w:bCs/>
          <w:kern w:val="0"/>
          <w:szCs w:val="32"/>
        </w:rPr>
      </w:pPr>
      <w:r>
        <w:rPr>
          <w:rFonts w:eastAsia="仿宋"/>
          <w:b/>
          <w:bCs/>
          <w:kern w:val="0"/>
          <w:szCs w:val="32"/>
        </w:rPr>
        <w:t>（三）与现行法律、法规的关系，与有关国家标准、行业标准的协调情况</w:t>
      </w:r>
    </w:p>
    <w:p w14:paraId="420315B0">
      <w:pPr>
        <w:ind w:firstLine="640"/>
        <w:rPr>
          <w:rFonts w:eastAsia="仿宋"/>
          <w:szCs w:val="32"/>
        </w:rPr>
      </w:pPr>
      <w:r>
        <w:rPr>
          <w:rFonts w:hint="eastAsia" w:eastAsia="仿宋"/>
          <w:szCs w:val="32"/>
        </w:rPr>
        <w:t>本编制工作组承诺本标准内容与各项指标不违反相关法律法规要求，且不低于国家强制性标准、推荐性国家标准和行业标准要求。</w:t>
      </w:r>
    </w:p>
    <w:p w14:paraId="0B63CF51">
      <w:pPr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经查询，与“鱼生”“鱼  运输”“水产品  运输”标准相关的标准有：GB/T 36192-2024  活水产品运输技术规范、GB/T 24861-2024  水产品流通管理技术规范、SN T 1885.2-2007  进出口水产品储运卫生规范  第2部分：水产品运输、GB/T 27638-2011  活鱼运输技术规范。</w:t>
      </w:r>
    </w:p>
    <w:p w14:paraId="0F1509C1">
      <w:pPr>
        <w:ind w:firstLine="640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分析如下：分析情况如下：</w:t>
      </w:r>
    </w:p>
    <w:p w14:paraId="3523F4D9">
      <w:pPr>
        <w:ind w:firstLine="640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（1）《GB/T 36192-2024  活水产品运输技术规范》规定了活水产品运输的基本要求，以及运输管理和记录的技术要求，描述了对应的证实方法，适用于活鱼、活虾、活贝、活蟹的运输。（2）《GB T 24861-2024水产品流通管理技术规范》规定了水产品流通管理过程的基本要求、水产品接收、运输、贮存和销售的要求，描述了记录等相应的证实方法。适用于活体、鲜和冷冻动物性水产品从接收到销售的技术管理。不适用于本标准的运输操作。（3）《SN/T 1885.2-2007  进出口水产品储运卫生规范 第2部分：水产品运输》规定了进出口水产品运输过程中的卫生要求。适用于进出口水产品的运输过程。</w:t>
      </w:r>
    </w:p>
    <w:p w14:paraId="3F750A77">
      <w:pPr>
        <w:ind w:firstLine="640"/>
      </w:pPr>
      <w:r>
        <w:rPr>
          <w:rFonts w:hint="eastAsia" w:ascii="仿宋_GB2312" w:hAnsi="宋体"/>
          <w:szCs w:val="32"/>
        </w:rPr>
        <w:t>本标准（1）针对赤眼鳟、青竹鱼等核心几种横县鱼生专用鱼运输的细化操作给出来；（2）围绕横县鱼生专用鱼要达到的感官要求和无螺、无虫（肝吸虫囊蚴）、无渔药滥用、无饲喂违禁药品在运输过程的运前准备、运中注意、运后处理等要求突出细化的核心技术。（3）新增了特色配菜的运输管理。横县鱼生以多达20余种配料构建风味矩阵：紫苏、薄荷、木瓜丝、酸荞头、柠檬叶、鱼腥草等切如发丝，搭配本地花生油、生抽、胡椒粉调制的蘸料。对配菜的管理要求较高。目前未有横县鱼生标准，制定《横县鱼生制作技术规范》具有创新性和紧迫性。</w:t>
      </w:r>
    </w:p>
    <w:p w14:paraId="081F44B6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bookmarkStart w:id="10" w:name="_Toc526940084"/>
      <w:r>
        <w:rPr>
          <w:rFonts w:hint="eastAsia" w:ascii="黑体" w:hAnsi="黑体" w:eastAsia="黑体" w:cs="仿宋_GB2312"/>
          <w:szCs w:val="32"/>
        </w:rPr>
        <w:t>五、</w:t>
      </w:r>
      <w:bookmarkEnd w:id="10"/>
      <w:r>
        <w:rPr>
          <w:rFonts w:hint="eastAsia" w:ascii="黑体" w:hAnsi="黑体" w:eastAsia="黑体" w:cs="仿宋_GB2312"/>
          <w:szCs w:val="32"/>
        </w:rPr>
        <w:t>主要条款的说明</w:t>
      </w:r>
    </w:p>
    <w:p w14:paraId="329BA68D">
      <w:pPr>
        <w:ind w:firstLine="640"/>
        <w:rPr>
          <w:rFonts w:hint="eastAsia" w:ascii="仿宋_GB2312" w:hAnsi="宋体"/>
          <w:szCs w:val="32"/>
          <w:highlight w:val="yellow"/>
          <w:lang w:val="zh-CN"/>
        </w:rPr>
      </w:pPr>
      <w:r>
        <w:rPr>
          <w:rFonts w:hint="eastAsia" w:ascii="仿宋_GB2312" w:hAnsi="宋体"/>
          <w:szCs w:val="32"/>
          <w:lang w:val="zh-CN"/>
        </w:rPr>
        <w:t>本文件</w:t>
      </w:r>
      <w:r>
        <w:rPr>
          <w:rFonts w:hint="eastAsia"/>
          <w:snapToGrid w:val="0"/>
        </w:rPr>
        <w:t>规定了横县鱼生</w:t>
      </w:r>
      <w:r>
        <w:rPr>
          <w:snapToGrid w:val="0"/>
        </w:rPr>
        <w:t>专用</w:t>
      </w:r>
      <w:r>
        <w:rPr>
          <w:rFonts w:hint="eastAsia"/>
          <w:snapToGrid w:val="0"/>
        </w:rPr>
        <w:t>鱼活体运输的基本要求、运输前准备、过程控制、装卸交接、卫生管理、应急处理及记录追溯等技术要求</w:t>
      </w:r>
      <w:r>
        <w:rPr>
          <w:rFonts w:hint="eastAsia" w:ascii="仿宋_GB2312" w:hAnsi="宋体"/>
          <w:szCs w:val="32"/>
          <w:lang w:val="zh-CN"/>
        </w:rPr>
        <w:t>。</w:t>
      </w:r>
      <w:r>
        <w:rPr>
          <w:rFonts w:hint="eastAsia" w:ascii="仿宋_GB2312" w:hAnsi="宋体"/>
          <w:szCs w:val="32"/>
          <w:highlight w:val="none"/>
          <w:lang w:val="zh-CN"/>
        </w:rPr>
        <w:t>本文件主要内容及依据来源说明如下：</w:t>
      </w:r>
    </w:p>
    <w:p w14:paraId="18513E0D">
      <w:pPr>
        <w:pStyle w:val="32"/>
        <w:numPr>
          <w:ilvl w:val="0"/>
          <w:numId w:val="17"/>
        </w:numPr>
        <w:autoSpaceDE w:val="0"/>
        <w:autoSpaceDN w:val="0"/>
        <w:adjustRightInd w:val="0"/>
        <w:spacing w:line="560" w:lineRule="exact"/>
        <w:ind w:firstLineChars="0"/>
        <w:jc w:val="left"/>
        <w:rPr>
          <w:rFonts w:hint="eastAsia" w:ascii="黑体" w:hAnsi="黑体" w:eastAsia="黑体" w:cs="仿宋_GB2312"/>
          <w:szCs w:val="32"/>
          <w:highlight w:val="none"/>
        </w:rPr>
      </w:pPr>
      <w:bookmarkStart w:id="11" w:name="_Toc526940086"/>
      <w:r>
        <w:rPr>
          <w:rFonts w:hint="eastAsia" w:ascii="黑体" w:hAnsi="黑体" w:eastAsia="黑体" w:cs="仿宋_GB2312"/>
          <w:szCs w:val="32"/>
          <w:highlight w:val="none"/>
        </w:rPr>
        <w:t>基本要求</w:t>
      </w:r>
    </w:p>
    <w:p w14:paraId="20F6301B">
      <w:pPr>
        <w:pStyle w:val="32"/>
        <w:numPr>
          <w:ilvl w:val="0"/>
          <w:numId w:val="18"/>
        </w:numPr>
        <w:autoSpaceDE w:val="0"/>
        <w:autoSpaceDN w:val="0"/>
        <w:adjustRightIn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活鱼质量要求</w:t>
      </w:r>
    </w:p>
    <w:p w14:paraId="6C71A603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本章节规定了运输环节的基础性、通用性要求，是后续所有具体操作的前提和保障。其条款设计基于“预防为主、风险控制”的原则，覆盖了从原料、工具、人员到介质的全要素，旨在从起点确保横县鱼生的独特品质和最高级别的食品安全。规定了原料鱼的来源、规格、感官、卫生及检验报告要求，并通过表1明确了兽药残留和寄生虫的限量指标。</w:t>
      </w:r>
    </w:p>
    <w:p w14:paraId="2623E541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  <w:lang w:eastAsia="zh-CN"/>
        </w:rPr>
        <w:t>主要考虑到</w:t>
      </w:r>
      <w:r>
        <w:rPr>
          <w:rFonts w:hint="eastAsia" w:ascii="仿宋_GB2312" w:hAnsi="宋体"/>
          <w:sz w:val="28"/>
          <w:szCs w:val="28"/>
        </w:rPr>
        <w:t>（1）源头管控理念：“生态鱼或健康养殖场”的要求源于HACCP和食品追溯体系的核心原则</w:t>
      </w:r>
      <w:r>
        <w:rPr>
          <w:rFonts w:hint="eastAsia" w:ascii="仿宋_GB2312" w:hAnsi="宋体"/>
          <w:sz w:val="28"/>
          <w:szCs w:val="28"/>
        </w:rPr>
        <w:t>“源头控制” 理念。优质的原料是保障最终产品安全的基础，健康养殖环境能显著降低鱼体携带病原微生物和寄生虫的风险，并避免土腥味等影响风味的物质。这是区别于普通水产品运输的关键。（2）标准引用（T/GXAS 1081、GB 2733）。该标准通常对横县鱼生常用鱼种的体重规格（如草鱼一般选用2.5-3.5kg，肉质肥瘦适中）、鲜活度、体表完整性等感官指标有详细规定，确保原料适合制作鱼生。强制性国家标准《食品安全国家标准</w:t>
      </w:r>
      <w:r>
        <w:rPr>
          <w:rFonts w:hint="eastAsia" w:ascii="仿宋_GB2312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/>
          <w:sz w:val="28"/>
          <w:szCs w:val="28"/>
        </w:rPr>
        <w:t>鲜、冻动物性水产品》是安全底线，引用它确保了本标准的合规性。（3）第三方检验报告与寄生虫指标：华支睾吸虫（肝吸虫）、颚口线虫等是淡水鱼常见的寄生虫，生食或半生食受感染的鱼肉是主要感染途径（参考《华支睾吸虫病诊断标准》WS 309-2019 等相关流行病学文献）。针对生食鱼生的最大安全风险，本条提出了最高级别的管控要求。“以池（塘）为单位”，考虑到寄生虫病的聚集性特点，以养殖水体为单位抽样比以个体为单位更具代表性。“第三方检验”，要求第三方检验是为了保证检测结果的公正性和权威性，避免自检自判可能存在的漏洞。这是保障消费者健康安全的核心条款，也是横县鱼生标准严于普通标准的体现</w:t>
      </w:r>
      <w:r>
        <w:rPr>
          <w:rFonts w:ascii="仿宋_GB2312" w:hAnsi="宋体"/>
          <w:sz w:val="28"/>
          <w:szCs w:val="28"/>
        </w:rPr>
        <w:t>。</w:t>
      </w:r>
      <w:r>
        <w:rPr>
          <w:rFonts w:hint="eastAsia" w:ascii="仿宋_GB2312" w:hAnsi="宋体"/>
          <w:sz w:val="28"/>
          <w:szCs w:val="28"/>
        </w:rPr>
        <w:t>（4）表1 活鱼质量要求：兽药残留，引用强制性GB 31650-2019《食品安全国家标准 食品中兽药最大残留限量》。寄生虫（不得检出），此为生食水产品的强制性安全要求。该要求严于供熟食的水产品标准，依据是《食品安全国家标准 动物性水产制品》（GB 10136）中对生食动物性水产品的规定。“不得检出”意味着检测方法灵敏度内不允许存在，是“零风险”容忍态度的体现。</w:t>
      </w:r>
    </w:p>
    <w:p w14:paraId="71DA546B">
      <w:pPr>
        <w:pStyle w:val="32"/>
        <w:numPr>
          <w:ilvl w:val="0"/>
          <w:numId w:val="18"/>
        </w:numPr>
        <w:autoSpaceDE w:val="0"/>
        <w:autoSpaceDN w:val="0"/>
        <w:adjustRightIn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ascii="仿宋_GB2312" w:hAnsi="宋体"/>
          <w:b/>
          <w:bCs/>
          <w:sz w:val="28"/>
          <w:szCs w:val="28"/>
        </w:rPr>
        <w:t>运输工具卫生</w:t>
      </w:r>
      <w:r>
        <w:rPr>
          <w:rFonts w:hint="eastAsia" w:ascii="仿宋_GB2312" w:hAnsi="宋体"/>
          <w:b/>
          <w:bCs/>
          <w:sz w:val="28"/>
          <w:szCs w:val="28"/>
        </w:rPr>
        <w:t>要求</w:t>
      </w:r>
    </w:p>
    <w:p w14:paraId="23BCC1F4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  <w:lang w:eastAsia="zh-CN"/>
        </w:rPr>
        <w:t>主要</w:t>
      </w:r>
      <w:r>
        <w:rPr>
          <w:rFonts w:ascii="仿宋_GB2312" w:hAnsi="宋体"/>
          <w:sz w:val="28"/>
          <w:szCs w:val="28"/>
        </w:rPr>
        <w:t>对运输车辆的设计、清洗消毒及配菜运输提出了具体要求。</w:t>
      </w:r>
    </w:p>
    <w:p w14:paraId="0BC7FF9A">
      <w:pPr>
        <w:pStyle w:val="50"/>
        <w:shd w:val="clear" w:color="auto" w:fill="FFFFFF"/>
        <w:spacing w:before="0" w:beforeAutospacing="0" w:after="0" w:afterAutospacing="0" w:line="429" w:lineRule="atLeast"/>
        <w:ind w:firstLine="560" w:firstLineChars="200"/>
        <w:rPr>
          <w:rFonts w:hint="eastAsia" w:ascii="仿宋_GB2312" w:eastAsia="仿宋_GB2312" w:cs="Times New Roman"/>
          <w:kern w:val="2"/>
          <w:sz w:val="28"/>
          <w:szCs w:val="28"/>
        </w:rPr>
      </w:pPr>
      <w:r>
        <w:rPr>
          <w:rFonts w:ascii="仿宋_GB2312" w:eastAsia="仿宋_GB2312" w:cs="Times New Roman"/>
          <w:kern w:val="2"/>
          <w:sz w:val="28"/>
          <w:szCs w:val="28"/>
        </w:rPr>
        <w:t>（</w:t>
      </w:r>
      <w:r>
        <w:rPr>
          <w:rFonts w:hint="eastAsia" w:ascii="仿宋_GB2312" w:eastAsia="仿宋_GB2312" w:cs="Times New Roman"/>
          <w:kern w:val="2"/>
          <w:sz w:val="28"/>
          <w:szCs w:val="28"/>
        </w:rPr>
        <w:t>1</w:t>
      </w:r>
      <w:r>
        <w:rPr>
          <w:rFonts w:ascii="仿宋_GB2312" w:eastAsia="仿宋_GB2312" w:cs="Times New Roman"/>
          <w:kern w:val="2"/>
          <w:sz w:val="28"/>
          <w:szCs w:val="28"/>
        </w:rPr>
        <w:t>）专车专用与物理分隔：主要依据GB 31605-2020《食品安全国家标准 食品冷链物流卫生规范》中关于防止交叉污染的要求（第4.3条）。鱼生原料鱼价值高且卫生要求极端严格，与其它可能携带致病菌或产生异味的货物（如牲畜、其他海鲜）混运风险极大。“专车专用”是理想状态，“物理分隔”是现实操作中的底线要求。</w:t>
      </w:r>
    </w:p>
    <w:p w14:paraId="00BA632A">
      <w:pPr>
        <w:pStyle w:val="50"/>
        <w:shd w:val="clear" w:color="auto" w:fill="FFFFFF"/>
        <w:spacing w:before="0" w:beforeAutospacing="0" w:after="0" w:afterAutospacing="0" w:line="429" w:lineRule="atLeast"/>
        <w:ind w:firstLine="560" w:firstLineChars="200"/>
        <w:rPr>
          <w:rFonts w:hint="eastAsia" w:ascii="仿宋_GB2312" w:eastAsia="仿宋_GB2312" w:cs="Times New Roman"/>
          <w:kern w:val="2"/>
          <w:sz w:val="28"/>
          <w:szCs w:val="28"/>
        </w:rPr>
      </w:pPr>
      <w:r>
        <w:rPr>
          <w:rFonts w:ascii="仿宋_GB2312" w:eastAsia="仿宋_GB2312" w:cs="Times New Roman"/>
          <w:kern w:val="2"/>
          <w:sz w:val="28"/>
          <w:szCs w:val="28"/>
        </w:rPr>
        <w:t>（</w:t>
      </w:r>
      <w:r>
        <w:rPr>
          <w:rFonts w:hint="eastAsia" w:ascii="仿宋_GB2312" w:eastAsia="仿宋_GB2312" w:cs="Times New Roman"/>
          <w:kern w:val="2"/>
          <w:sz w:val="28"/>
          <w:szCs w:val="28"/>
        </w:rPr>
        <w:t>2</w:t>
      </w:r>
      <w:r>
        <w:rPr>
          <w:rFonts w:ascii="仿宋_GB2312" w:eastAsia="仿宋_GB2312" w:cs="Times New Roman"/>
          <w:kern w:val="2"/>
          <w:sz w:val="28"/>
          <w:szCs w:val="28"/>
        </w:rPr>
        <w:t>）增氧与温控：</w:t>
      </w:r>
      <w:r>
        <w:rPr>
          <w:rFonts w:hint="eastAsia" w:ascii="仿宋_GB2312" w:eastAsia="仿宋_GB2312" w:cs="Times New Roman"/>
          <w:kern w:val="2"/>
          <w:sz w:val="28"/>
          <w:szCs w:val="28"/>
        </w:rPr>
        <w:t>活鱼运输中，水温和溶氧是两大关键生命维持参数。</w:t>
      </w:r>
      <w:r>
        <w:rPr>
          <w:rFonts w:ascii="仿宋_GB2312" w:eastAsia="仿宋_GB2312" w:cs="Times New Roman"/>
          <w:kern w:val="2"/>
          <w:sz w:val="28"/>
          <w:szCs w:val="28"/>
        </w:rPr>
        <w:t>足够的溶氧是降低鱼类应激、减少死亡、防止肉质变酸腐败的关键。</w:t>
      </w:r>
    </w:p>
    <w:p w14:paraId="2C1002F5">
      <w:pPr>
        <w:pStyle w:val="50"/>
        <w:shd w:val="clear" w:color="auto" w:fill="FFFFFF"/>
        <w:spacing w:before="0" w:beforeAutospacing="0" w:after="0" w:afterAutospacing="0" w:line="429" w:lineRule="atLeast"/>
        <w:ind w:firstLine="560" w:firstLineChars="200"/>
        <w:rPr>
          <w:rFonts w:hint="eastAsia" w:ascii="仿宋_GB2312" w:eastAsia="仿宋_GB2312" w:cs="Times New Roman"/>
          <w:kern w:val="2"/>
          <w:sz w:val="28"/>
          <w:szCs w:val="28"/>
        </w:rPr>
      </w:pPr>
      <w:r>
        <w:rPr>
          <w:rFonts w:hint="eastAsia" w:ascii="仿宋_GB2312" w:eastAsia="仿宋_GB2312" w:cs="Times New Roman"/>
          <w:kern w:val="2"/>
          <w:sz w:val="28"/>
          <w:szCs w:val="28"/>
        </w:rPr>
        <w:t>（3）</w:t>
      </w:r>
      <w:r>
        <w:rPr>
          <w:rFonts w:ascii="仿宋_GB2312" w:eastAsia="仿宋_GB2312" w:cs="Times New Roman"/>
          <w:kern w:val="2"/>
          <w:sz w:val="28"/>
          <w:szCs w:val="28"/>
        </w:rPr>
        <w:t>内壁材质：“食品级不锈钢或聚乙烯”材质光滑、无毒、耐腐蚀、易清洗消毒，能有效防止鱼体在颠簸中刮伤掉鳞，从而避免微生物从伤口滋生并污染水质和鱼肉。</w:t>
      </w:r>
    </w:p>
    <w:p w14:paraId="6ACF58F0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（4）消毒剂选择与参数：200 ppm有效氯，含氯消毒剂是食品工业最常用、最有效的消毒剂之一。200 ppm的浓度是杀灭常见病原微生物（如副溶血性弧菌、沙门氏菌）的有效浓度，且对设备腐蚀性在可控范围内。参考了世界卫生组织（WHO）及各国食品加工规范中的消毒指南。残留氯＜0.01 mg/L，此限值严格遵循 GB 5749-2022《生活饮用水卫生标准》 中对游离氯的限值要求，防止消毒剂残留对鱼鳃造成损伤或污染鱼肉。</w:t>
      </w:r>
    </w:p>
    <w:p w14:paraId="6C2FC908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（5）臭氧熏蒸：臭氧（</w:t>
      </w:r>
      <w:r>
        <w:rPr>
          <w:rFonts w:ascii="仿宋_GB2312" w:hAnsi="宋体"/>
          <w:sz w:val="28"/>
          <w:szCs w:val="28"/>
        </w:rPr>
        <w:t>O</w:t>
      </w:r>
      <w:r>
        <w:rPr>
          <w:rFonts w:ascii="Cambria Math" w:hAnsi="Cambria Math" w:cs="Cambria Math"/>
          <w:sz w:val="28"/>
          <w:szCs w:val="28"/>
        </w:rPr>
        <w:t>₃</w:t>
      </w:r>
      <w:r>
        <w:rPr>
          <w:rFonts w:hint="eastAsia" w:ascii="仿宋_GB2312" w:hAnsi="宋体"/>
          <w:sz w:val="28"/>
          <w:szCs w:val="28"/>
        </w:rPr>
        <w:t>）是一种强氧化性气体消毒剂，能有效杀灭氯制剂无法杀灭的病毒和芽孢，并可深入缝隙，消除异味。每周一次的频率是定期深度消毒的最佳实践。浓度和作用时间参考了医疗器械和食品空间消毒的常用参数。</w:t>
      </w:r>
    </w:p>
    <w:p w14:paraId="585B6AE4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sz w:val="28"/>
          <w:szCs w:val="28"/>
          <w:lang w:eastAsia="zh-CN"/>
        </w:rPr>
        <w:t>还规定了</w:t>
      </w:r>
      <w:r>
        <w:rPr>
          <w:rFonts w:ascii="仿宋_GB2312" w:hAnsi="宋体"/>
          <w:sz w:val="28"/>
          <w:szCs w:val="28"/>
        </w:rPr>
        <w:t>“</w:t>
      </w:r>
      <w:r>
        <w:rPr>
          <w:rFonts w:hint="eastAsia" w:ascii="仿宋_GB2312" w:hAnsi="宋体"/>
          <w:sz w:val="28"/>
          <w:szCs w:val="28"/>
        </w:rPr>
        <w:t>4.2.3　鱼生辅料运输应设置独立运输区，与活鱼隔离且温度控制在4 ℃±1 ℃，用于紫苏叶、薄荷叶、木瓜丝等20余种特色配料的冷链运输。特色配料若需独立包装，应使用食品级塑料盒盛装，表面加盖食品级保鲜膜。</w:t>
      </w:r>
      <w:r>
        <w:rPr>
          <w:rFonts w:ascii="仿宋_GB2312" w:hAnsi="宋体"/>
          <w:sz w:val="28"/>
          <w:szCs w:val="28"/>
        </w:rPr>
        <w:t>”</w:t>
      </w:r>
    </w:p>
    <w:p w14:paraId="7FC62F7E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  <w:lang w:eastAsia="zh-CN"/>
        </w:rPr>
        <w:t>主要考虑到</w:t>
      </w:r>
      <w:r>
        <w:rPr>
          <w:rFonts w:hint="eastAsia" w:ascii="仿宋_GB2312" w:hAnsi="宋体"/>
          <w:sz w:val="28"/>
          <w:szCs w:val="28"/>
        </w:rPr>
        <w:t>（1）独立运输区：同样是基于 GB 31605 的防止交叉污染原则。运输舱湿度大，可能存在水雾和微生物气溶胶，污染即食的配菜。（2）温度控制（4℃±1℃）：此温度是国际公认的冷藏食品安全温度，即“危险温度带”之上，能有效抑制大多数致病菌的生长繁殖。配菜多为新鲜植物性原料，此温度下能最大程度保持其色泽、脆度和风味。（3）包装材料：特色配菜使用独立包装能够有效隔绝有害微生物等，使用食品级塑料盒其强度好、安全。保鲜膜的作用是能防止水分冷凝积聚导致配菜腐烂，又能保持盒内高湿度环境防止萎蔫，还能起到一定的物理防护和透气作用。此设计来源于生鲜果蔬冷链运输的最佳实践。</w:t>
      </w:r>
    </w:p>
    <w:p w14:paraId="6A3C43E4">
      <w:pPr>
        <w:pStyle w:val="32"/>
        <w:numPr>
          <w:ilvl w:val="0"/>
          <w:numId w:val="18"/>
        </w:numPr>
        <w:autoSpaceDE w:val="0"/>
        <w:autoSpaceDN w:val="0"/>
        <w:adjustRightIn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ascii="仿宋_GB2312" w:hAnsi="宋体"/>
          <w:b/>
          <w:bCs/>
          <w:sz w:val="28"/>
          <w:szCs w:val="28"/>
        </w:rPr>
        <w:t>运输</w:t>
      </w:r>
      <w:r>
        <w:rPr>
          <w:rFonts w:hint="eastAsia" w:ascii="仿宋_GB2312" w:hAnsi="宋体"/>
          <w:b/>
          <w:bCs/>
          <w:sz w:val="28"/>
          <w:szCs w:val="28"/>
        </w:rPr>
        <w:t>人员要求</w:t>
      </w:r>
    </w:p>
    <w:p w14:paraId="3395D9C7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/>
          <w:b w:val="0"/>
          <w:bCs w:val="0"/>
          <w:sz w:val="28"/>
          <w:szCs w:val="28"/>
          <w:lang w:eastAsia="zh-CN"/>
        </w:rPr>
        <w:t>规定了</w:t>
      </w:r>
      <w:r>
        <w:rPr>
          <w:rFonts w:hint="eastAsia" w:ascii="仿宋_GB2312" w:hAnsi="宋体"/>
          <w:b w:val="0"/>
          <w:bCs w:val="0"/>
          <w:sz w:val="28"/>
          <w:szCs w:val="28"/>
        </w:rPr>
        <w:t>“</w:t>
      </w:r>
      <w:r>
        <w:rPr>
          <w:rFonts w:hint="eastAsia" w:ascii="仿宋_GB2312" w:hAnsi="宋体"/>
          <w:sz w:val="28"/>
          <w:szCs w:val="28"/>
        </w:rPr>
        <w:t>运输人员需持有健康证，并接受横县鱼生运输保护专项培训，包括鱼生专用鱼运输要求、应激反应识别等内容。”</w:t>
      </w:r>
      <w:r>
        <w:rPr>
          <w:rFonts w:hint="eastAsia" w:ascii="仿宋_GB2312" w:hAnsi="宋体" w:eastAsia="仿宋_GB2312"/>
          <w:sz w:val="28"/>
          <w:szCs w:val="28"/>
        </w:rPr>
        <w:t>培训要求基于横县鱼生活鱼运输的技术要求（如无螺、无寄生虫、增氧、水温）远高于普通活鱼运输的特殊性。风险识别，要求运输人员能识别鱼类的应激反应（如狂游、窜跳、翻肚、体色发白），这是判断鱼群健康状况、及时启动应急处置、避免大规模死亡和品质下降的关键技能。培训内容应基于鱼类生理学和行为学知识。</w:t>
      </w:r>
    </w:p>
    <w:p w14:paraId="73521C78">
      <w:pPr>
        <w:pStyle w:val="32"/>
        <w:numPr>
          <w:ilvl w:val="0"/>
          <w:numId w:val="18"/>
        </w:numPr>
        <w:autoSpaceDE w:val="0"/>
        <w:autoSpaceDN w:val="0"/>
        <w:adjustRightInd w:val="0"/>
        <w:snapToGrid w:val="0"/>
        <w:spacing w:line="560" w:lineRule="exact"/>
        <w:ind w:left="714" w:hanging="357"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水和冰要求</w:t>
      </w:r>
    </w:p>
    <w:p w14:paraId="35DB0EE2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“运输和暂养过程用水水质应符合GB 11607的规定，用冰应符合 SC/T 9001的规定。”</w:t>
      </w:r>
      <w:r>
        <w:rPr>
          <w:rFonts w:hint="eastAsia" w:ascii="仿宋_GB2312" w:hAnsi="宋体"/>
          <w:sz w:val="28"/>
          <w:szCs w:val="28"/>
          <w:lang w:eastAsia="zh-CN"/>
        </w:rPr>
        <w:t>主要考虑到</w:t>
      </w: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用水（GB 11607）：直接引用强制性国家标准《渔业水质标准》。该标准对渔业用水的感官、理化指标（如pH、溶解氧、氨氮、重金属、有毒物质）均有明确限值。使用达标的水质是确保鱼在运输途中存活率、健康度及不受二次污染的根本。例如，氨氮超标会毒害鱼体，重金属超标会富集在鱼体内。（2）用冰（SC/T 9001）：引用水产行业标准《人造冰》。该标准规定了食用冰的卫生要求。冰在运输中用于降温，会融化成水并与鱼体直接接触，因此其卫生安全至关重要，必须符合食品级要求，防止成为污染源。</w:t>
      </w:r>
    </w:p>
    <w:p w14:paraId="7118EC82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仿宋_GB2312" w:hAnsi="宋体"/>
          <w:b/>
          <w:szCs w:val="32"/>
          <w:highlight w:val="none"/>
          <w:lang w:val="zh-CN"/>
        </w:rPr>
      </w:pPr>
      <w:r>
        <w:rPr>
          <w:rFonts w:hint="eastAsia" w:ascii="黑体" w:hAnsi="黑体" w:eastAsia="黑体" w:cs="仿宋_GB2312"/>
          <w:szCs w:val="32"/>
          <w:highlight w:val="none"/>
        </w:rPr>
        <w:t>（二）横县鱼生用鱼运输要求</w:t>
      </w:r>
    </w:p>
    <w:p w14:paraId="0AC07956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</w:rPr>
        <w:t>本章节是标准的核心技术内容，涵盖了从运输前准备到运输过程控制的全部关键技术环节。其条款设计基于鱼类生理学、水环境化学和风险分析原理，并结合横县鱼生产业的特定需求和实践经验，旨在确保活鱼在运输后不仅存活，更能保持最佳的食用品质和安全性。</w:t>
      </w:r>
    </w:p>
    <w:p w14:paraId="1149CC2F">
      <w:pPr>
        <w:pStyle w:val="32"/>
        <w:numPr>
          <w:ilvl w:val="0"/>
          <w:numId w:val="19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预处理</w:t>
      </w:r>
    </w:p>
    <w:p w14:paraId="572ADD79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规定了装运前停食暂养、拉网锻炼、降温梯度及暂养环境的要求。</w:t>
      </w:r>
    </w:p>
    <w:p w14:paraId="58990E4A">
      <w:pPr>
        <w:pStyle w:val="1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停食暂养（48小时）与拉网锻炼（2次）：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主要考虑到</w:t>
      </w:r>
      <w:r>
        <w:rPr>
          <w:rFonts w:hint="eastAsia" w:ascii="仿宋_GB2312" w:hAnsi="宋体" w:eastAsia="仿宋_GB2312"/>
          <w:sz w:val="28"/>
          <w:szCs w:val="28"/>
        </w:rPr>
        <w:t>源于鱼类生理学和应激管理。停食旨在彻底排空肠道内容物，极大减少运输过程中鱼的代谢排泄物（粪便），从而有效控制水体中氨氮（</w:t>
      </w:r>
      <w:r>
        <w:rPr>
          <w:rFonts w:ascii="仿宋_GB2312" w:hAnsi="宋体" w:eastAsia="仿宋_GB2312"/>
          <w:sz w:val="28"/>
          <w:szCs w:val="28"/>
        </w:rPr>
        <w:t>NH</w:t>
      </w:r>
      <w:r>
        <w:rPr>
          <w:rFonts w:ascii="Cambria Math" w:hAnsi="Cambria Math" w:eastAsia="仿宋_GB2312" w:cs="Cambria Math"/>
          <w:sz w:val="28"/>
          <w:szCs w:val="28"/>
        </w:rPr>
        <w:t>₃</w:t>
      </w:r>
      <w:r>
        <w:rPr>
          <w:rFonts w:ascii="仿宋_GB2312" w:hAnsi="宋体" w:eastAsia="仿宋_GB2312"/>
          <w:sz w:val="28"/>
          <w:szCs w:val="28"/>
        </w:rPr>
        <w:t>-N</w:t>
      </w:r>
      <w:r>
        <w:rPr>
          <w:rFonts w:hint="eastAsia" w:ascii="仿宋_GB2312" w:hAnsi="宋体" w:eastAsia="仿宋_GB2312"/>
          <w:sz w:val="28"/>
          <w:szCs w:val="28"/>
        </w:rPr>
        <w:t>）和亚硝酸盐（</w:t>
      </w:r>
      <w:r>
        <w:rPr>
          <w:rFonts w:ascii="仿宋_GB2312" w:hAnsi="宋体" w:eastAsia="仿宋_GB2312"/>
          <w:sz w:val="28"/>
          <w:szCs w:val="28"/>
        </w:rPr>
        <w:t>NO</w:t>
      </w:r>
      <w:r>
        <w:rPr>
          <w:rFonts w:ascii="Cambria Math" w:hAnsi="Cambria Math" w:eastAsia="仿宋_GB2312" w:cs="Cambria Math"/>
          <w:sz w:val="28"/>
          <w:szCs w:val="28"/>
        </w:rPr>
        <w:t>₂⁻</w:t>
      </w:r>
      <w:r>
        <w:rPr>
          <w:rFonts w:ascii="仿宋_GB2312" w:hAnsi="宋体" w:eastAsia="仿宋_GB2312"/>
          <w:sz w:val="28"/>
          <w:szCs w:val="28"/>
        </w:rPr>
        <w:t>-N</w:t>
      </w:r>
      <w:r>
        <w:rPr>
          <w:rFonts w:hint="eastAsia" w:ascii="仿宋_GB2312" w:hAnsi="宋体" w:eastAsia="仿宋_GB2312"/>
          <w:sz w:val="28"/>
          <w:szCs w:val="28"/>
        </w:rPr>
        <w:t>）的浓度升高，这些物质对鱼有强烈毒性，是导致运输死亡的主要原因之一。“拉网锻炼”的目的是对鱼进行抗应激预处理。通过人为模拟运输中的惊扰，促使鱼体分泌皮质醇等应激激素并随后适应，提高其在正式运输时的耐受力，减少剧烈挣扎导致的损伤和死亡。此方法是水产养殖和运输中的一项成熟实践。</w:t>
      </w:r>
    </w:p>
    <w:p w14:paraId="72B2D5A3">
      <w:pPr>
        <w:pStyle w:val="1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（2）缓慢降温（≤3℃/小时）：鱼类是变温动物，体温随环境变化。温度骤变（尤其是快速降温）会导致其生理功能紊乱，称为“冷休克”（Cold Shock），表现为黏液分泌异常、免疫机能下降、甚至猝死。每小时不超过3℃ 的梯度是行业公认的安全降温速率（参考SC/T 6012《鱼类运输通用技术要求》、FAO水产手册等），允许鱼体的渗透压调节系统和酶系统逐步适应新温度。</w:t>
      </w:r>
    </w:p>
    <w:p w14:paraId="1E6ACE9D">
      <w:pPr>
        <w:pStyle w:val="1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（3）无螺无寄生虫要求： 这是对标准第1部分“养殖”要求的延续和强化。暂养环节是寄生虫交叉感染和传播的高风险期。水体中的螺类是许多寄生虫（如肝吸虫）的中间宿主。此条款强制要求对暂养环境进行清塘和消毒，切断寄生虫的生命周期，是保障生食安全最关键的控制点之一，依据源于《食品安全国家标准 动物性水产制品》（GB 10136）对原料的卫生要求以及寄生虫病学原理。</w:t>
      </w:r>
    </w:p>
    <w:p w14:paraId="39D2938F">
      <w:pPr>
        <w:pStyle w:val="32"/>
        <w:numPr>
          <w:ilvl w:val="0"/>
          <w:numId w:val="19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运输环境控制</w:t>
      </w:r>
    </w:p>
    <w:p w14:paraId="5E73BAB3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b w:val="0"/>
          <w:bCs w:val="0"/>
          <w:sz w:val="28"/>
          <w:szCs w:val="28"/>
          <w:lang w:eastAsia="zh-CN"/>
        </w:rPr>
        <w:t>规定了</w:t>
      </w:r>
      <w:r>
        <w:rPr>
          <w:rFonts w:ascii="仿宋_GB2312" w:hAnsi="宋体"/>
          <w:sz w:val="28"/>
          <w:szCs w:val="28"/>
        </w:rPr>
        <w:t>对水温、水质、密度、溶氧及包装方式进行了明确规定。</w:t>
      </w:r>
    </w:p>
    <w:p w14:paraId="1259F44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主要考虑到</w:t>
      </w: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控温与温差（±3℃）：此条款是“缓慢降温”原则的延续。“兑水”操作是水产运输中的标准做法，目的是避免鱼从暂养池突然进入运输箱时遭受热应激。±3℃的温差限值是基于鱼类对温度变化的耐受阈值设定的，超过此范围将引发强烈应激反应。10-20℃的范围涵盖了大多数温水性鱼类的生理活性降低、代谢减缓的适宜温度区间，有助于降低耗氧量和保持安静。</w:t>
      </w:r>
    </w:p>
    <w:p w14:paraId="283BD25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水质参数（pH 7.0-7.5,氨氮≤0.02 mg/L）：</w:t>
      </w:r>
      <w:r>
        <w:rPr>
          <w:rFonts w:ascii="仿宋_GB2312" w:hAnsi="宋体" w:eastAsia="仿宋_GB2312"/>
          <w:sz w:val="28"/>
          <w:szCs w:val="28"/>
        </w:rPr>
        <w:t>pH</w:t>
      </w:r>
      <w:r>
        <w:rPr>
          <w:rFonts w:hint="eastAsia" w:ascii="仿宋_GB2312" w:hAnsi="宋体" w:eastAsia="仿宋_GB2312"/>
          <w:sz w:val="28"/>
          <w:szCs w:val="28"/>
        </w:rPr>
        <w:t>值，此范围为中性偏弱碱性，最接近鱼体血液的</w:t>
      </w:r>
      <w:r>
        <w:rPr>
          <w:rFonts w:ascii="仿宋_GB2312" w:hAnsi="宋体" w:eastAsia="仿宋_GB2312"/>
          <w:sz w:val="28"/>
          <w:szCs w:val="28"/>
        </w:rPr>
        <w:t>pH</w:t>
      </w:r>
      <w:r>
        <w:rPr>
          <w:rFonts w:hint="eastAsia" w:ascii="仿宋_GB2312" w:hAnsi="宋体" w:eastAsia="仿宋_GB2312"/>
          <w:sz w:val="28"/>
          <w:szCs w:val="28"/>
        </w:rPr>
        <w:t>值，利于其渗透压平衡和氨的排泄（</w:t>
      </w:r>
      <w:r>
        <w:rPr>
          <w:rFonts w:ascii="仿宋_GB2312" w:hAnsi="宋体" w:eastAsia="仿宋_GB2312"/>
          <w:sz w:val="28"/>
          <w:szCs w:val="28"/>
        </w:rPr>
        <w:t>NH</w:t>
      </w:r>
      <w:r>
        <w:rPr>
          <w:rFonts w:ascii="Cambria Math" w:hAnsi="Cambria Math" w:eastAsia="仿宋_GB2312" w:cs="Cambria Math"/>
          <w:sz w:val="28"/>
          <w:szCs w:val="28"/>
        </w:rPr>
        <w:t>₃</w:t>
      </w:r>
      <w:r>
        <w:rPr>
          <w:rFonts w:hint="eastAsia" w:ascii="仿宋_GB2312" w:hAnsi="宋体" w:eastAsia="仿宋_GB2312"/>
          <w:sz w:val="28"/>
          <w:szCs w:val="28"/>
        </w:rPr>
        <w:t>的毒性低于</w:t>
      </w:r>
      <w:r>
        <w:rPr>
          <w:rFonts w:ascii="仿宋_GB2312" w:hAnsi="宋体" w:eastAsia="仿宋_GB2312"/>
          <w:sz w:val="28"/>
          <w:szCs w:val="28"/>
        </w:rPr>
        <w:t>NH</w:t>
      </w:r>
      <w:r>
        <w:rPr>
          <w:rFonts w:ascii="Cambria Math" w:hAnsi="Cambria Math" w:eastAsia="仿宋_GB2312" w:cs="Cambria Math"/>
          <w:sz w:val="28"/>
          <w:szCs w:val="28"/>
        </w:rPr>
        <w:t>₄⁺</w:t>
      </w:r>
      <w:r>
        <w:rPr>
          <w:rFonts w:hint="eastAsia" w:ascii="仿宋_GB2312" w:hAnsi="宋体" w:eastAsia="仿宋_GB2312"/>
          <w:sz w:val="28"/>
          <w:szCs w:val="28"/>
        </w:rPr>
        <w:t>，但在高</w:t>
      </w:r>
      <w:r>
        <w:rPr>
          <w:rFonts w:ascii="仿宋_GB2312" w:hAnsi="宋体" w:eastAsia="仿宋_GB2312"/>
          <w:sz w:val="28"/>
          <w:szCs w:val="28"/>
        </w:rPr>
        <w:t>pH</w:t>
      </w:r>
      <w:r>
        <w:rPr>
          <w:rFonts w:hint="eastAsia" w:ascii="仿宋_GB2312" w:hAnsi="宋体" w:eastAsia="仿宋_GB2312"/>
          <w:sz w:val="28"/>
          <w:szCs w:val="28"/>
        </w:rPr>
        <w:t>下</w:t>
      </w:r>
      <w:r>
        <w:rPr>
          <w:rFonts w:ascii="仿宋_GB2312" w:hAnsi="宋体" w:eastAsia="仿宋_GB2312"/>
          <w:sz w:val="28"/>
          <w:szCs w:val="28"/>
        </w:rPr>
        <w:t>NH</w:t>
      </w:r>
      <w:r>
        <w:rPr>
          <w:rFonts w:ascii="Cambria Math" w:hAnsi="Cambria Math" w:eastAsia="仿宋_GB2312" w:cs="Cambria Math"/>
          <w:sz w:val="28"/>
          <w:szCs w:val="28"/>
        </w:rPr>
        <w:t>₃</w:t>
      </w:r>
      <w:r>
        <w:rPr>
          <w:rFonts w:hint="eastAsia" w:ascii="仿宋_GB2312" w:hAnsi="宋体" w:eastAsia="仿宋_GB2312"/>
          <w:sz w:val="28"/>
          <w:szCs w:val="28"/>
        </w:rPr>
        <w:t>比例增加）。</w:t>
      </w:r>
      <w:r>
        <w:rPr>
          <w:rFonts w:ascii="仿宋_GB2312" w:hAnsi="宋体" w:eastAsia="仿宋_GB2312"/>
          <w:sz w:val="28"/>
          <w:szCs w:val="28"/>
        </w:rPr>
        <w:t>pH</w:t>
      </w:r>
      <w:r>
        <w:rPr>
          <w:rFonts w:hint="eastAsia" w:ascii="仿宋_GB2312" w:hAnsi="宋体" w:eastAsia="仿宋_GB2312"/>
          <w:sz w:val="28"/>
          <w:szCs w:val="28"/>
        </w:rPr>
        <w:t>值剧烈波动同样是应激源。氨氮（≤0.02 mg/L），这是一个极其严苛的指标，远高于一般水产养殖或运输的要求（通常关注0.05-0.5 mg/L的急性中毒浓度）。设定此严苛值是因为在高密度运输中，即使少量氨氮积累也会因协同效应而放大毒性。氨氮胁迫会严重影响鱼肉风味，可能导致异味。此数值参考了高端水产品活体运输的最佳实践数据和科研文献。</w:t>
      </w:r>
    </w:p>
    <w:p w14:paraId="79E45C2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（3）换水要求（&gt;5小时）： 基于模型计算和经验数据。在常规密度下，5小时左右是鱼类代谢产物积累和水质开始恶化的临界点。换水是刷新水质、补充溶氧、稀释有害物质最直接有效的方法。</w:t>
      </w:r>
    </w:p>
    <w:p w14:paraId="3D0C934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4</w:t>
      </w:r>
      <w:r>
        <w:rPr>
          <w:rFonts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装运密度（3</w:t>
      </w:r>
      <w:r>
        <w:rPr>
          <w:rFonts w:ascii="仿宋_GB2312" w:hAnsi="宋体" w:eastAsia="仿宋_GB2312"/>
          <w:sz w:val="28"/>
          <w:szCs w:val="28"/>
        </w:rPr>
        <w:t>00 kg/m³</w:t>
      </w:r>
      <w:r>
        <w:rPr>
          <w:rFonts w:hint="eastAsia" w:ascii="仿宋_GB2312" w:hAnsi="宋体" w:eastAsia="仿宋_GB2312"/>
          <w:sz w:val="28"/>
          <w:szCs w:val="28"/>
        </w:rPr>
        <w:t>）：在实地调研过程中根据养殖户以及运输人员的实践经验确定的数值。标准来源于生产实践，这是团体标准的特点和优势。与</w:t>
      </w:r>
      <w:r>
        <w:rPr>
          <w:rFonts w:ascii="仿宋_GB2312" w:hAnsi="宋体" w:eastAsia="仿宋_GB2312"/>
          <w:sz w:val="28"/>
          <w:szCs w:val="28"/>
        </w:rPr>
        <w:t>GB/T 36192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150 kg/m³</w:t>
      </w:r>
      <w:r>
        <w:rPr>
          <w:rFonts w:hint="eastAsia" w:ascii="仿宋_GB2312" w:hAnsi="宋体" w:eastAsia="仿宋_GB2312"/>
          <w:sz w:val="28"/>
          <w:szCs w:val="28"/>
        </w:rPr>
        <w:t>）的差异解释：</w:t>
      </w:r>
      <w:r>
        <w:rPr>
          <w:rFonts w:ascii="仿宋_GB2312" w:hAnsi="宋体" w:eastAsia="仿宋_GB2312"/>
          <w:sz w:val="28"/>
          <w:szCs w:val="28"/>
        </w:rPr>
        <w:t>GB/T 36192-20</w:t>
      </w:r>
      <w:r>
        <w:rPr>
          <w:rFonts w:hint="eastAsia" w:ascii="仿宋_GB2312" w:hAnsi="宋体" w:eastAsia="仿宋_GB2312"/>
          <w:sz w:val="28"/>
          <w:szCs w:val="28"/>
        </w:rPr>
        <w:t>24《活水产品运输技术规范》中</w:t>
      </w:r>
      <w:r>
        <w:rPr>
          <w:rFonts w:ascii="仿宋_GB2312" w:hAnsi="宋体" w:eastAsia="仿宋_GB2312"/>
          <w:sz w:val="28"/>
          <w:szCs w:val="28"/>
        </w:rPr>
        <w:t>150 kg/m³</w:t>
      </w:r>
      <w:r>
        <w:rPr>
          <w:rFonts w:hint="eastAsia" w:ascii="仿宋_GB2312" w:hAnsi="宋体" w:eastAsia="仿宋_GB2312"/>
          <w:sz w:val="28"/>
          <w:szCs w:val="28"/>
        </w:rPr>
        <w:t>的密度通常指的是在开放式活水舱（如运输船）中的密度，其水体与外界交换，水质更易维持。而横县鱼生运输多为封闭式载水运输（卡车上的水箱或胶袋），完全依赖初始水量和增氧，3</w:t>
      </w:r>
      <w:r>
        <w:rPr>
          <w:rFonts w:ascii="仿宋_GB2312" w:hAnsi="宋体" w:eastAsia="仿宋_GB2312"/>
          <w:sz w:val="28"/>
          <w:szCs w:val="28"/>
        </w:rPr>
        <w:t>00 kg/m³</w:t>
      </w:r>
      <w:r>
        <w:rPr>
          <w:rFonts w:hint="eastAsia" w:ascii="仿宋_GB2312" w:hAnsi="宋体" w:eastAsia="仿宋_GB2312"/>
          <w:sz w:val="28"/>
          <w:szCs w:val="28"/>
        </w:rPr>
        <w:t>的密度意味着水鱼比为</w:t>
      </w:r>
      <w:r>
        <w:rPr>
          <w:rFonts w:ascii="仿宋_GB2312" w:hAnsi="宋体" w:eastAsia="仿宋_GB2312"/>
          <w:sz w:val="28"/>
          <w:szCs w:val="28"/>
        </w:rPr>
        <w:t>1:</w:t>
      </w:r>
      <w:r>
        <w:rPr>
          <w:rFonts w:hint="eastAsia" w:ascii="仿宋_GB2312" w:hAnsi="宋体" w:eastAsia="仿宋_GB2312"/>
          <w:sz w:val="28"/>
          <w:szCs w:val="28"/>
        </w:rPr>
        <w:t>3（即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吨水装3吨鱼），这在封闭式增氧运输中是经过验证的、可行的商业密度，平衡了经济效益和生存率。</w:t>
      </w:r>
    </w:p>
    <w:p w14:paraId="73BB5A2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（5）高溶氧要求（≥10 mg/L）：肌红蛋白（</w:t>
      </w:r>
      <w:r>
        <w:rPr>
          <w:rFonts w:ascii="仿宋_GB2312" w:hAnsi="宋体" w:eastAsia="仿宋_GB2312"/>
          <w:sz w:val="28"/>
          <w:szCs w:val="28"/>
        </w:rPr>
        <w:t>Myoglobin</w:t>
      </w:r>
      <w:r>
        <w:rPr>
          <w:rFonts w:hint="eastAsia" w:ascii="仿宋_GB2312" w:hAnsi="宋体" w:eastAsia="仿宋_GB2312"/>
          <w:sz w:val="28"/>
          <w:szCs w:val="28"/>
        </w:rPr>
        <w:t>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是鱼肉（尤其是红肉）呈现红色的原因，它是一种储氧蛋白。运输过程中的应激和缺氧会导致肌红蛋白中的二价铁（</w:t>
      </w:r>
      <w:r>
        <w:rPr>
          <w:rFonts w:ascii="仿宋_GB2312" w:hAnsi="宋体" w:eastAsia="仿宋_GB2312"/>
          <w:sz w:val="28"/>
          <w:szCs w:val="28"/>
        </w:rPr>
        <w:t>Fe²</w:t>
      </w:r>
      <w:r>
        <w:rPr>
          <w:rFonts w:ascii="Cambria Math" w:hAnsi="Cambria Math" w:eastAsia="仿宋_GB2312" w:cs="Cambria Math"/>
          <w:sz w:val="28"/>
          <w:szCs w:val="28"/>
        </w:rPr>
        <w:t>⁺</w:t>
      </w:r>
      <w:r>
        <w:rPr>
          <w:rFonts w:hint="eastAsia" w:ascii="仿宋_GB2312" w:hAnsi="宋体" w:eastAsia="仿宋_GB2312"/>
          <w:sz w:val="28"/>
          <w:szCs w:val="28"/>
        </w:rPr>
        <w:t>）被氧化成三价铁（</w:t>
      </w:r>
      <w:r>
        <w:rPr>
          <w:rFonts w:ascii="仿宋_GB2312" w:hAnsi="宋体" w:eastAsia="仿宋_GB2312"/>
          <w:sz w:val="28"/>
          <w:szCs w:val="28"/>
        </w:rPr>
        <w:t>Fe³</w:t>
      </w:r>
      <w:r>
        <w:rPr>
          <w:rFonts w:ascii="Cambria Math" w:hAnsi="Cambria Math" w:eastAsia="仿宋_GB2312" w:cs="Cambria Math"/>
          <w:sz w:val="28"/>
          <w:szCs w:val="28"/>
        </w:rPr>
        <w:t>⁺</w:t>
      </w:r>
      <w:r>
        <w:rPr>
          <w:rFonts w:hint="eastAsia" w:ascii="仿宋_GB2312" w:hAnsi="宋体" w:eastAsia="仿宋_GB2312"/>
          <w:sz w:val="28"/>
          <w:szCs w:val="28"/>
        </w:rPr>
        <w:t>），从而使红肉颜色变为灰褐色（发白），品质显著下降。横县鱼生以保留红肉、追求“红里透白”的视觉和口感特色而闻名。因此，维持极高的溶氧水平的核心目的不仅是保活，更是为了保色—防止肌红蛋白氧化，保持红肉的鲜艳色泽和新鲜口感以体现横县鱼生标准的特色。</w:t>
      </w:r>
    </w:p>
    <w:p w14:paraId="6BB122B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（6）塑料袋充氧包装操作：此段详细描述了封闭式运输的标准操作流程（SOP），是行业最佳实践的总结，旨在确保操作的规范性和成功率。</w:t>
      </w:r>
    </w:p>
    <w:p w14:paraId="69038FA9">
      <w:pPr>
        <w:pStyle w:val="32"/>
        <w:numPr>
          <w:ilvl w:val="0"/>
          <w:numId w:val="19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运输注意事项（分品种要求）</w:t>
      </w:r>
    </w:p>
    <w:p w14:paraId="3F1C8F9C">
      <w:pPr>
        <w:pStyle w:val="1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本条款是标准差异化和精细化的体现，其参数来源是鱼类生物学特性与长期生产实践经验的结合。以每种鱼不同的最适温度、耗氧率、应激敏感性、体表结构生物学特性为基础。</w:t>
      </w:r>
    </w:p>
    <w:p w14:paraId="45BE2E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赤眼鳟（畏光）： 其生物学特性就是性情暴躁易惊，强光会刺激其跳跃撞伤。</w:t>
      </w:r>
    </w:p>
    <w:p w14:paraId="523D22A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青竹鱼（鳞片易脱）：鳞片大而疏松，机械碰撞易导致脱落，伤口易感染且影响卖相，故需内衬软网。</w:t>
      </w:r>
    </w:p>
    <w:p w14:paraId="110F955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桂花鱼（高应激）：名贵肉食性鱼类，神经敏感，应激时分泌黏液极多，5‰的盐分可调节渗透压减轻应激。</w:t>
      </w:r>
    </w:p>
    <w:p w14:paraId="583E6B9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黄肉鲤鱼（查黏液）：鲤鱼科鱼类本身黏液分泌旺盛，应激时更甚。过多的黏液会堵塞鱼鳃，阻碍呼吸，并快速败坏水质。“拉丝≤5cm”是一个来自经验的、可操作的直观判断标准。</w:t>
      </w:r>
    </w:p>
    <w:p w14:paraId="6437E5C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草鱼（停食72h）： 草鱼食量大、消化道长，需要更长的停食时间才能完全排空肠道，因此要求在通用48小时基础上加严。</w:t>
      </w:r>
    </w:p>
    <w:p w14:paraId="2FA3A88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罗非鱼（怕冷）： 作为热带鱼类，其临界低温约为12-14℃，16℃是其安全活动的下限，低于此温度会冻伤、失衡甚至死亡。</w:t>
      </w:r>
    </w:p>
    <w:p w14:paraId="481ABAC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蓝刀鱼（低密度）： 小型鱼类，单位重量的个体数量多，总耗氧量大，且体型小更易在拥挤中受伤，故需显著降低密度。</w:t>
      </w:r>
    </w:p>
    <w:p w14:paraId="0D9F9A06">
      <w:pPr>
        <w:pStyle w:val="12"/>
        <w:ind w:firstLine="560" w:firstLineChars="200"/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以上</w:t>
      </w:r>
      <w:r>
        <w:rPr>
          <w:rFonts w:hint="eastAsia" w:ascii="仿宋_GB2312" w:hAnsi="宋体" w:eastAsia="仿宋_GB2312"/>
          <w:sz w:val="28"/>
          <w:szCs w:val="28"/>
        </w:rPr>
        <w:t>数值（如温度范围、密度值）是多次运输试验和养殖户、运输者长期经验总结的结晶，将其写入标准，可以将最佳实践固化并推广，提升整个行业水平。</w:t>
      </w:r>
    </w:p>
    <w:p w14:paraId="14FBA13A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  <w:highlight w:val="none"/>
          <w:lang w:val="zh-CN"/>
        </w:rPr>
      </w:pPr>
      <w:r>
        <w:rPr>
          <w:rFonts w:hint="eastAsia" w:ascii="黑体" w:hAnsi="黑体" w:eastAsia="黑体" w:cs="仿宋_GB2312"/>
          <w:szCs w:val="32"/>
          <w:highlight w:val="none"/>
          <w:lang w:val="zh-CN"/>
        </w:rPr>
        <w:t>（三）</w:t>
      </w:r>
      <w:r>
        <w:rPr>
          <w:rFonts w:hint="eastAsia" w:ascii="黑体" w:hAnsi="黑体" w:eastAsia="黑体" w:cs="仿宋_GB2312"/>
          <w:szCs w:val="32"/>
          <w:highlight w:val="none"/>
        </w:rPr>
        <w:t>特色配菜运输要求</w:t>
      </w:r>
    </w:p>
    <w:p w14:paraId="1464DE67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</w:rPr>
        <w:t>本章节针对横县鱼生二十余种特色辅料（如紫苏叶、薄荷叶、木瓜酸嘢等）的运输环节制定了专项技术要求，其核心目标是防止交叉污染、维持辅料鲜度、保障即食安全。条款设计基于不同类型辅料的生物学特性与食品安全风险分析，旨在构建一个精细化、可操作的辅料运输保障体系。</w:t>
      </w:r>
    </w:p>
    <w:p w14:paraId="69C22AFF">
      <w:pPr>
        <w:pStyle w:val="32"/>
        <w:numPr>
          <w:ilvl w:val="0"/>
          <w:numId w:val="20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分类运输条件</w:t>
      </w:r>
    </w:p>
    <w:p w14:paraId="5893DECF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（1）</w:t>
      </w:r>
      <w:r>
        <w:rPr>
          <w:rFonts w:ascii="仿宋_GB2312" w:hAnsi="宋体"/>
          <w:sz w:val="28"/>
          <w:szCs w:val="28"/>
        </w:rPr>
        <w:t>车辆卫生与隔离要求：条款要求运输车辆干净卫生、无虫鼠害，并与有毒有害物品隔离，直接引用 GB 31605-2020《食品安全国家标准 食品冷链物流卫生规范》 第4章"运输工具"的基本要求。这是防止化学性污染和生物性污染的底线保障。</w:t>
      </w:r>
    </w:p>
    <w:p w14:paraId="6D0265E4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2）温度控制（2℃—8℃）：该温度区间是国际公认的冷藏食品核心安全温度带。在此温度下，可有效抑制大多数腐败菌和致病菌（如沙门氏菌、李斯特菌）的生长繁殖（参考FDA《食品法规》），同时能最大程度保持鲜香叶类的色泽、脆度和发酵类辅料（如酸嘢）的风味稳定性。此要求针对的是所有需温控的辅料，是保障其安全与品质的首要技术措施。</w:t>
      </w:r>
    </w:p>
    <w:p w14:paraId="2F0C8663">
      <w:pPr>
        <w:pStyle w:val="32"/>
        <w:numPr>
          <w:ilvl w:val="0"/>
          <w:numId w:val="20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bookmarkStart w:id="12" w:name="_Hlk206578742"/>
      <w:r>
        <w:rPr>
          <w:rFonts w:hint="eastAsia" w:ascii="仿宋_GB2312" w:hAnsi="宋体"/>
          <w:b/>
          <w:bCs/>
          <w:sz w:val="28"/>
          <w:szCs w:val="28"/>
        </w:rPr>
        <w:t>卫生控制</w:t>
      </w:r>
    </w:p>
    <w:p w14:paraId="30ABE15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）物理分隔：</w:t>
      </w:r>
      <w:bookmarkEnd w:id="12"/>
      <w:r>
        <w:rPr>
          <w:rFonts w:hint="eastAsia" w:ascii="仿宋_GB2312" w:hAnsi="宋体" w:eastAsia="仿宋_GB2312"/>
          <w:sz w:val="28"/>
          <w:szCs w:val="28"/>
        </w:rPr>
        <w:t>要求生鲜植物、发酵制品、调味品分区放置，源于 HACCP原理中的"防止交叉污染" 原则。不同类别辅料特性差异大：青料易腐烂、发酵品含活性微生物、调味品多为高脂干货。物理分隔可避免串味、水分迁移及微生物交叉污染（如发酵品中的霉菌孢子污染鲜叶）。</w:t>
      </w:r>
    </w:p>
    <w:p w14:paraId="768F131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）色标管理：这是食品加工行业防止交叉污染的通用且有效的最佳实践（参考GB 31654《餐饮服务通用卫生规范》）。不同颜色的工具专用于不同类别的食品，即使发生混用也能立即识别并纠正，极大降低微生物和过敏原交叉污染的风险。</w:t>
      </w:r>
    </w:p>
    <w:p w14:paraId="6C44F96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baseline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（2）80℃热水冲洗10min： 这是一种无化学残留的物理消毒方法。80℃的热水足以使绝大多数病原微生物的蛋白质变性失活（巴氏杀菌原理），作用10分钟能确保杀菌效果。相比化学消毒剂，它避免了清洗不彻底导致消毒剂残留污染配菜风味的风险。</w:t>
      </w:r>
    </w:p>
    <w:p w14:paraId="26BD4E64">
      <w:pPr>
        <w:pStyle w:val="32"/>
        <w:numPr>
          <w:ilvl w:val="0"/>
          <w:numId w:val="20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微生物控制</w:t>
      </w:r>
    </w:p>
    <w:p w14:paraId="17C8A9C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baseline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）菌落总数≤</w:t>
      </w:r>
      <w:r>
        <w:rPr>
          <w:rFonts w:ascii="仿宋_GB2312" w:hAnsi="宋体" w:eastAsia="仿宋_GB2312"/>
          <w:sz w:val="28"/>
          <w:szCs w:val="28"/>
        </w:rPr>
        <w:t>10 CFU/cm²</w:t>
      </w:r>
      <w:r>
        <w:rPr>
          <w:rFonts w:hint="eastAsia" w:ascii="仿宋_GB2312" w:hAnsi="宋体" w:eastAsia="仿宋_GB2312"/>
          <w:sz w:val="28"/>
          <w:szCs w:val="28"/>
        </w:rPr>
        <w:t>：通常食品工厂对车间环境的要求为≤</w:t>
      </w:r>
      <w:r>
        <w:rPr>
          <w:rFonts w:ascii="仿宋_GB2312" w:hAnsi="宋体" w:eastAsia="仿宋_GB2312"/>
          <w:sz w:val="28"/>
          <w:szCs w:val="28"/>
        </w:rPr>
        <w:t>100 CFU/cm²</w:t>
      </w:r>
      <w:r>
        <w:rPr>
          <w:rFonts w:hint="eastAsia" w:ascii="仿宋_GB2312" w:hAnsi="宋体" w:eastAsia="仿宋_GB2312"/>
          <w:sz w:val="28"/>
          <w:szCs w:val="28"/>
        </w:rPr>
        <w:t>。本标准参照该数值，体现了对即食辅料较高的安全要求。定期涂抹检测是对卫生控制效果（如清洗消毒）的验证。</w:t>
      </w:r>
    </w:p>
    <w:p w14:paraId="0DAEE43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560" w:firstLineChars="200"/>
        <w:textAlignment w:val="baseline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（2）致病菌不得检出强制性要求。目标致病菌可能包括沙门氏菌、金黄色葡萄球菌、单增李斯特菌等，具体检测项目可根据辅料种类风险评估确定。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主要</w:t>
      </w:r>
      <w:r>
        <w:rPr>
          <w:rFonts w:hint="eastAsia" w:ascii="仿宋_GB2312" w:hAnsi="宋体" w:eastAsia="仿宋_GB2312"/>
          <w:sz w:val="28"/>
          <w:szCs w:val="28"/>
        </w:rPr>
        <w:t>依据为GB 14881《食品安全国家标准 食品生产通用卫生规范》中对即食食品生产环境的要求。</w:t>
      </w:r>
    </w:p>
    <w:p w14:paraId="3F74A063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  <w:highlight w:val="none"/>
          <w:lang w:val="zh-CN"/>
        </w:rPr>
      </w:pPr>
      <w:r>
        <w:rPr>
          <w:rFonts w:hint="eastAsia" w:ascii="黑体" w:hAnsi="黑体" w:eastAsia="黑体" w:cs="仿宋_GB2312"/>
          <w:szCs w:val="32"/>
          <w:highlight w:val="none"/>
          <w:lang w:val="zh-CN"/>
        </w:rPr>
        <w:t>（四）卸载与交接要求</w:t>
      </w:r>
    </w:p>
    <w:p w14:paraId="424001BB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</w:rPr>
        <w:t>本章节规定了运输末端环节的操作规范与验收标准，是保障运输成果转化为最终产品质量的关键控制点。其设计基于最小化应激损伤、防止二次污染、明确质量责任的原则，确保活鱼和辅料从运输环节到加工环节的无缝衔接。</w:t>
      </w:r>
    </w:p>
    <w:p w14:paraId="7DE8F9C2">
      <w:pPr>
        <w:pStyle w:val="32"/>
        <w:numPr>
          <w:ilvl w:val="0"/>
          <w:numId w:val="21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鱼生用鱼装卸操作及交接验证</w:t>
      </w:r>
    </w:p>
    <w:p w14:paraId="3B72A21E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（1）</w:t>
      </w:r>
      <w:r>
        <w:rPr>
          <w:rFonts w:hint="eastAsia" w:ascii="仿宋_GB2312" w:hAnsi="宋体"/>
          <w:sz w:val="28"/>
          <w:szCs w:val="28"/>
          <w:lang w:eastAsia="zh-CN"/>
        </w:rPr>
        <w:t>规定了</w:t>
      </w:r>
      <w:r>
        <w:rPr>
          <w:rFonts w:hint="eastAsia" w:ascii="仿宋_GB2312" w:hAnsi="宋体"/>
          <w:sz w:val="28"/>
          <w:szCs w:val="28"/>
        </w:rPr>
        <w:t>软质抄网（网线直径≤0.5 mm）与禁止钩抓/抛掷：</w:t>
      </w:r>
      <w:r>
        <w:rPr>
          <w:rFonts w:hint="eastAsia" w:ascii="仿宋_GB2312" w:hAnsi="宋体"/>
          <w:sz w:val="28"/>
          <w:szCs w:val="28"/>
          <w:lang w:eastAsia="zh-CN"/>
        </w:rPr>
        <w:t>主要考虑到</w:t>
      </w:r>
      <w:r>
        <w:rPr>
          <w:rFonts w:hint="eastAsia" w:ascii="仿宋_GB2312" w:hAnsi="宋体"/>
          <w:sz w:val="28"/>
          <w:szCs w:val="28"/>
        </w:rPr>
        <w:t>机械损伤控制要求直接针对横县鱼生鱼体完整性的核心诉求。粗糙的工具或金属钩会对鱼体表面造成刮擦损伤，破坏鳞片和皮下肌肉组织，不仅影响卖相，更为微生物的滋生提供了侵入通道。</w:t>
      </w:r>
    </w:p>
    <w:p w14:paraId="2DD128F9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粗暴的操作（如抛掷）会给鱼带来极强的最终应激，导致体内糖原耗尽，产生乳酸，影响宰杀后的鱼肉</w:t>
      </w:r>
      <w:r>
        <w:rPr>
          <w:rFonts w:ascii="仿宋_GB2312" w:hAnsi="宋体"/>
          <w:sz w:val="28"/>
          <w:szCs w:val="28"/>
        </w:rPr>
        <w:t>pH</w:t>
      </w:r>
      <w:r>
        <w:rPr>
          <w:rFonts w:hint="eastAsia" w:ascii="仿宋_GB2312" w:hAnsi="宋体"/>
          <w:sz w:val="28"/>
          <w:szCs w:val="28"/>
        </w:rPr>
        <w:t>值和风味。软质抄网能温和转移，保持鱼体安静。网线直径≤</w:t>
      </w:r>
      <w:r>
        <w:rPr>
          <w:rFonts w:ascii="仿宋_GB2312" w:hAnsi="宋体"/>
          <w:sz w:val="28"/>
          <w:szCs w:val="28"/>
        </w:rPr>
        <w:t xml:space="preserve">0.5 mm </w:t>
      </w:r>
      <w:r>
        <w:rPr>
          <w:rFonts w:hint="eastAsia" w:ascii="仿宋_GB2312" w:hAnsi="宋体"/>
          <w:sz w:val="28"/>
          <w:szCs w:val="28"/>
        </w:rPr>
        <w:t>是一个经验性指标，来源于高端水产物流企业的操作规范，旨在确保网线足够柔软光滑，不会勒伤或擦伤鱼体。</w:t>
      </w:r>
    </w:p>
    <w:p w14:paraId="5481ECE2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（2）</w:t>
      </w:r>
      <w:r>
        <w:rPr>
          <w:rFonts w:hint="eastAsia" w:ascii="仿宋_GB2312" w:hAnsi="宋体"/>
          <w:sz w:val="28"/>
          <w:szCs w:val="28"/>
          <w:lang w:eastAsia="zh-CN"/>
        </w:rPr>
        <w:t>规定了</w:t>
      </w:r>
      <w:r>
        <w:rPr>
          <w:rFonts w:hint="eastAsia" w:ascii="仿宋_GB2312" w:hAnsi="宋体"/>
          <w:sz w:val="28"/>
          <w:szCs w:val="28"/>
        </w:rPr>
        <w:t>离水时间≤10 s</w:t>
      </w:r>
      <w:r>
        <w:rPr>
          <w:rFonts w:hint="eastAsia" w:ascii="仿宋_GB2312" w:hAnsi="宋体"/>
          <w:sz w:val="28"/>
          <w:szCs w:val="28"/>
          <w:lang w:eastAsia="zh-CN"/>
        </w:rPr>
        <w:t>，</w:t>
      </w:r>
      <w:r>
        <w:rPr>
          <w:rFonts w:hint="eastAsia" w:ascii="仿宋_GB2312" w:hAnsi="宋体"/>
          <w:sz w:val="28"/>
          <w:szCs w:val="28"/>
        </w:rPr>
        <w:t>避免鱼肉脱水收缩：鱼类离水后，鳃丝会粘连闭合，导致气体交换中断，迅速进入窒息性应激状态。短暂的离水缺氧就会启动无氧代谢，大量消耗肌肉中的糖原并产生乳酸，导致宰杀后鱼肉</w:t>
      </w:r>
      <w:r>
        <w:rPr>
          <w:rFonts w:ascii="仿宋_GB2312" w:hAnsi="宋体"/>
          <w:sz w:val="28"/>
          <w:szCs w:val="28"/>
        </w:rPr>
        <w:t>pH</w:t>
      </w:r>
      <w:r>
        <w:rPr>
          <w:rFonts w:hint="eastAsia" w:ascii="仿宋_GB2312" w:hAnsi="宋体"/>
          <w:sz w:val="28"/>
          <w:szCs w:val="28"/>
        </w:rPr>
        <w:t>值急剧下降，从而影响肉质的持水性、弹性和鲜甜味。对于追求极致鲜甜的鱼生而言，这是及其不利的。鱼体表面黏液和肌肉组织暴露在空气中会迅速失水，导致微观结构收缩。</w:t>
      </w:r>
    </w:p>
    <w:p w14:paraId="5E8F505E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（3）</w:t>
      </w:r>
      <w:r>
        <w:rPr>
          <w:rFonts w:hint="eastAsia" w:ascii="仿宋_GB2312" w:hAnsi="宋体"/>
          <w:sz w:val="28"/>
          <w:szCs w:val="28"/>
          <w:lang w:eastAsia="zh-CN"/>
        </w:rPr>
        <w:t>规定了</w:t>
      </w:r>
      <w:r>
        <w:rPr>
          <w:rFonts w:hint="eastAsia" w:ascii="仿宋_GB2312" w:hAnsi="宋体"/>
          <w:sz w:val="28"/>
          <w:szCs w:val="28"/>
        </w:rPr>
        <w:t>投放适宜水体暂养：要求接收方具备对应的暂养条件，是运输环节的自然延伸。目的是让经过长途运输的鱼有一个恢复期，缓解应激，排出运输过程中产生的代谢废物，重新稳定其生理状态，为下一步的宰杀处理做好准备。</w:t>
      </w:r>
    </w:p>
    <w:p w14:paraId="419DE9DE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  <w:lang w:eastAsia="zh-CN"/>
        </w:rPr>
        <w:t>规定了</w:t>
      </w:r>
      <w:r>
        <w:rPr>
          <w:rFonts w:ascii="仿宋_GB2312" w:hAnsi="宋体"/>
          <w:sz w:val="28"/>
          <w:szCs w:val="28"/>
        </w:rPr>
        <w:t>“交接后查验鱼体完整性，鱼皮无破损。”</w:t>
      </w:r>
      <w:r>
        <w:rPr>
          <w:rFonts w:hint="eastAsia" w:ascii="仿宋_GB2312" w:hAnsi="宋体"/>
          <w:sz w:val="28"/>
          <w:szCs w:val="28"/>
          <w:lang w:eastAsia="zh-CN"/>
        </w:rPr>
        <w:t>：</w:t>
      </w:r>
      <w:r>
        <w:rPr>
          <w:rFonts w:hint="eastAsia" w:ascii="仿宋_GB2312" w:hAnsi="宋体"/>
          <w:sz w:val="28"/>
          <w:szCs w:val="28"/>
        </w:rPr>
        <w:t>（1）可操作的验收标准：“鱼皮无破损”是一个直观、明确、可快速执行的交接验证指标。鱼体破损是前述所有运输和装卸操作是否得当的最终体现。（2）完整的物理屏障是防止致病微生物污染的第一道防线。破损的鱼体直接影响横县鱼生“晶莹剔透、完整美观”的出品要求。</w:t>
      </w:r>
    </w:p>
    <w:p w14:paraId="3D4C3998">
      <w:pPr>
        <w:pStyle w:val="32"/>
        <w:numPr>
          <w:ilvl w:val="0"/>
          <w:numId w:val="21"/>
        </w:numPr>
        <w:autoSpaceDE w:val="0"/>
        <w:autoSpaceDN w:val="0"/>
        <w:adjustRightInd w:val="0"/>
        <w:snapToGrid w:val="0"/>
        <w:spacing w:line="560" w:lineRule="exact"/>
        <w:ind w:firstLineChars="0"/>
        <w:jc w:val="left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特色辅料装卸操作及交接验证</w:t>
      </w:r>
    </w:p>
    <w:p w14:paraId="104C75AD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  <w:lang w:eastAsia="zh-CN"/>
        </w:rPr>
        <w:t>主要规定了</w:t>
      </w:r>
      <w:r>
        <w:rPr>
          <w:rFonts w:hint="eastAsia" w:ascii="仿宋_GB2312" w:hAnsi="宋体"/>
          <w:sz w:val="28"/>
          <w:szCs w:val="28"/>
        </w:rPr>
        <w:t>（1）轻拿轻放：绝大多数辅料（如鲜叶、酸嘢）质地娇嫩，机械碰撞会导致细胞破损，加速腐败变质和风味流失。这是食品物流的通用要求。（2）包装破损处理：立即密封/优先使用，针对的是轻微破损的应急处理原则，目的是最大限度减少暴露时间，防止污染物侵入或产品脱水或氧化。（3）拒收与隔离：此规定直接引用 GB 14881《食品安全国家标准 食品生产通用卫生规范》中对不合格品管理的要求。对于破损严重、感官异常或验证（如温度、pH值）不合格的辅料，必须坚决拒收，并严格隔离标识，防止其误入生产流程，这是HACCP体系中纠偏行动的关键一环。</w:t>
      </w:r>
    </w:p>
    <w:p w14:paraId="18612D57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（4）交接验收： 将验收检查作为强制程序，是为明确划分质量责任。运输方需负责将符合要求的辅料送达，接收方有权拒收不合格品，此环节是权责移交的节点。</w:t>
      </w:r>
    </w:p>
    <w:p w14:paraId="3B0B0396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  <w:highlight w:val="none"/>
          <w:lang w:val="zh-CN"/>
        </w:rPr>
      </w:pPr>
      <w:r>
        <w:rPr>
          <w:rFonts w:hint="eastAsia" w:ascii="黑体" w:hAnsi="黑体" w:eastAsia="黑体" w:cs="仿宋_GB2312"/>
          <w:szCs w:val="32"/>
          <w:highlight w:val="none"/>
          <w:lang w:val="zh-CN"/>
        </w:rPr>
        <w:t>（五）应急处理</w:t>
      </w:r>
    </w:p>
    <w:p w14:paraId="7E37233B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本章节是针对运输过程中可能发生的意外情况而制定的应急预案，其核心目标是降低损失、控制风险、保障品质。条款设计基于鱼类生理学、水环境化学原理和行业最佳实践，旨在为运输人员提供清晰、可操作的紧急情况处置指南，将突发事件对鱼体存活率和鱼肉品质的影响降至最低。</w:t>
      </w:r>
    </w:p>
    <w:p w14:paraId="2481B302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鱼类应激反应处置：</w:t>
      </w:r>
      <w:r>
        <w:rPr>
          <w:rFonts w:hint="eastAsia" w:ascii="仿宋_GB2312" w:hAnsi="宋体"/>
          <w:sz w:val="28"/>
          <w:szCs w:val="28"/>
        </w:rPr>
        <w:t>规定了针对鱼类重度应激和濒危状态的应急处置方案。</w:t>
      </w:r>
    </w:p>
    <w:p w14:paraId="30955860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b/>
          <w:color w:val="FF0000"/>
          <w:szCs w:val="32"/>
          <w:lang w:val="zh-CN"/>
        </w:rPr>
      </w:pPr>
      <w:r>
        <w:rPr>
          <w:rFonts w:hint="eastAsia" w:ascii="仿宋_GB2312" w:hAnsi="宋体"/>
          <w:sz w:val="28"/>
          <w:szCs w:val="28"/>
        </w:rPr>
        <w:t>（1）添加5‰食盐并遮光静置：鱼类通过鳃和体表进行渗透压调节。应激状态下，其调节机能紊乱。在淡水中添加少量盐分，可以减少鱼体与外界环境之间的渗透压差，从而减轻鱼体调节渗透压的生理负担，帮助其稳定体内电解质平衡，缓解应激。这是一种在水产养殖和运输中广泛应用且非常有效的抗应激技术（参考</w:t>
      </w:r>
      <w:r>
        <w:rPr>
          <w:rFonts w:ascii="仿宋_GB2312" w:hAnsi="宋体"/>
          <w:sz w:val="28"/>
          <w:szCs w:val="28"/>
        </w:rPr>
        <w:t>SC/T 6032</w:t>
      </w:r>
      <w:r>
        <w:rPr>
          <w:rFonts w:hint="eastAsia" w:ascii="仿宋_GB2312" w:hAnsi="宋体"/>
          <w:sz w:val="28"/>
          <w:szCs w:val="28"/>
        </w:rPr>
        <w:t>《活水产品运输技术规范》及鱼类生理学教材）。</w:t>
      </w:r>
      <w:r>
        <w:rPr>
          <w:rFonts w:ascii="仿宋_GB2312" w:hAnsi="宋体"/>
          <w:sz w:val="28"/>
          <w:szCs w:val="28"/>
        </w:rPr>
        <w:t>5‰</w:t>
      </w:r>
      <w:r>
        <w:rPr>
          <w:rFonts w:hint="eastAsia" w:ascii="仿宋_GB2312" w:hAnsi="宋体"/>
          <w:sz w:val="28"/>
          <w:szCs w:val="28"/>
        </w:rPr>
        <w:t>（</w:t>
      </w:r>
      <w:r>
        <w:rPr>
          <w:rFonts w:ascii="仿宋_GB2312" w:hAnsi="宋体"/>
          <w:sz w:val="28"/>
          <w:szCs w:val="28"/>
        </w:rPr>
        <w:t>0.5%</w:t>
      </w:r>
      <w:r>
        <w:rPr>
          <w:rFonts w:hint="eastAsia" w:ascii="仿宋_GB2312" w:hAnsi="宋体"/>
          <w:sz w:val="28"/>
          <w:szCs w:val="28"/>
        </w:rPr>
        <w:t>）的浓度是经验证的安全有效浓度，既能起到调节渗透压的作用，又不会对鱼体造成盐度胁迫，且成本低廉，操作简便。</w:t>
      </w:r>
      <w:r>
        <w:rPr>
          <w:rFonts w:hint="eastAsia" w:ascii="仿宋_GB2312" w:hAnsi="宋体"/>
          <w:sz w:val="28"/>
          <w:szCs w:val="28"/>
          <w:lang w:eastAsia="zh-CN"/>
        </w:rPr>
        <w:t>同时考虑到</w:t>
      </w:r>
      <w:r>
        <w:rPr>
          <w:rFonts w:hint="eastAsia" w:ascii="仿宋_GB2312" w:hAnsi="宋体"/>
          <w:sz w:val="28"/>
          <w:szCs w:val="28"/>
        </w:rPr>
        <w:t>光线是强烈的外部刺激源。遮光可以立即消除视觉惊扰，为鱼群创造一个安静、黑暗的恢复环境，使其快速平静下来。</w:t>
      </w:r>
    </w:p>
    <w:p w14:paraId="1132083A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（</w:t>
      </w:r>
      <w:r>
        <w:rPr>
          <w:rFonts w:hint="eastAsia" w:ascii="仿宋_GB2312" w:hAnsi="宋体"/>
          <w:sz w:val="28"/>
          <w:szCs w:val="28"/>
          <w:lang w:val="en-US" w:eastAsia="zh-CN"/>
        </w:rPr>
        <w:t>2</w:t>
      </w:r>
      <w:r>
        <w:rPr>
          <w:rFonts w:hint="eastAsia" w:ascii="仿宋_GB2312" w:hAnsi="宋体"/>
          <w:sz w:val="28"/>
          <w:szCs w:val="28"/>
        </w:rPr>
        <w:t>）翻肚鱼体＞5%时增氧或换水：“翻肚”是鱼类濒临死亡的明确信号，表明其平衡机能已丧失。5%的阈值是一个紧急行动的临界点。它意味着问题已不是个别鱼体的不适，而是整个运输水环境出现了系统性恶化（极可能是严重缺氧或氨氮等有害物质急性中毒）。此阈值基于风险管理的原则，要求在事态扩大前果断干预。“增氧”直接针对最可能的原因即缺氧，第一时间提升水体溶氧量。“换水”是最快速、最有效的水质刷新手段，可以立即稀释水中积累的氨氮、二氧化碳等有毒代谢废物。这两种方法是应对水质突发性恶化的首选和最有效举措。</w:t>
      </w:r>
    </w:p>
    <w:p w14:paraId="4241F3A2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鱼生用鱼运输延误预案：</w:t>
      </w:r>
      <w:r>
        <w:rPr>
          <w:rFonts w:hint="eastAsia" w:ascii="仿宋_GB2312" w:hAnsi="宋体"/>
          <w:b w:val="0"/>
          <w:bCs w:val="0"/>
          <w:sz w:val="28"/>
          <w:szCs w:val="28"/>
          <w:lang w:eastAsia="zh-CN"/>
        </w:rPr>
        <w:t>主要</w:t>
      </w:r>
      <w:r>
        <w:rPr>
          <w:rFonts w:ascii="仿宋_GB2312" w:hAnsi="宋体"/>
          <w:b w:val="0"/>
          <w:bCs w:val="0"/>
          <w:sz w:val="28"/>
          <w:szCs w:val="28"/>
        </w:rPr>
        <w:t>制</w:t>
      </w:r>
      <w:r>
        <w:rPr>
          <w:rFonts w:ascii="仿宋_GB2312" w:hAnsi="宋体"/>
          <w:sz w:val="28"/>
          <w:szCs w:val="28"/>
        </w:rPr>
        <w:t>定了针对不同时长运输延误的分级响应策略。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主要考虑到</w:t>
      </w:r>
      <w:r>
        <w:rPr>
          <w:rFonts w:hint="eastAsia" w:ascii="仿宋_GB2312" w:hAnsi="宋体" w:eastAsia="仿宋_GB2312"/>
          <w:sz w:val="28"/>
          <w:szCs w:val="28"/>
        </w:rPr>
        <w:t>（1）补充氧气：延误意味着代谢时间延长，耗氧量累积。补充氧气以建立充足的“氧储备”，应对不可预知的进一步延误。（2）降低水温1-2℃：这是基于范托夫定律（Q10定律） 的经典应用。温度每降低10℃，生物体的代谢速率大约降低至原来的1/2-1/4。降低水温1-2℃虽然幅度不大，但足以显著降低鱼群的代谢率、耗氧率和二氧化碳产生率，为等待争取宝贵时间。这是一种“休眠”策略。</w:t>
      </w:r>
    </w:p>
    <w:p w14:paraId="58424F97">
      <w:pPr>
        <w:autoSpaceDE w:val="0"/>
        <w:autoSpaceDN w:val="0"/>
        <w:adjustRightInd w:val="0"/>
        <w:spacing w:line="560" w:lineRule="exact"/>
        <w:ind w:firstLine="562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b w:val="0"/>
          <w:bCs w:val="0"/>
          <w:sz w:val="28"/>
          <w:szCs w:val="28"/>
          <w:lang w:eastAsia="zh-CN"/>
        </w:rPr>
        <w:t>条款</w:t>
      </w:r>
      <w:r>
        <w:rPr>
          <w:rFonts w:hint="eastAsia" w:ascii="仿宋_GB2312" w:hAnsi="宋体"/>
          <w:sz w:val="28"/>
          <w:szCs w:val="28"/>
        </w:rPr>
        <w:t>“延误＞6 h：就近转入暂养池，重新执行停食暂养程序。”</w:t>
      </w:r>
    </w:p>
    <w:p w14:paraId="69C5EB7B">
      <w:pPr>
        <w:pStyle w:val="12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1）阈值设定（＞6小时）：6小时的延误通常已超出封闭式运输系统的设计极限。水质会严重恶化，鱼体处于极度应激和衰竭状态，继续在运输容器中停留死亡率会急剧升高。（2）“就近转入暂养池”是唯一可行的选择。这相当于“重置”整个运输过程。让鱼群从一个濒临崩溃的环境转移到一个开阔、稳定、可控的暂养环境中恢复体能，排空再次积累的代谢废物。（3）“重新执行停食暂养程序”：这是最关键的要求。经过长时间应激，鱼体肠道可能再次有内容物，且生理状态需要足够的时间（通常24-48小时）才能完全稳定下来。如果不经过恢复期直接宰杀，鱼肉品质会极差。此条款强制要求必须给鱼群足够的恢复时间，确保最终产品品质。</w:t>
      </w:r>
    </w:p>
    <w:p w14:paraId="0D37ED47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  <w:highlight w:val="none"/>
          <w:lang w:val="zh-CN"/>
        </w:rPr>
      </w:pPr>
      <w:bookmarkStart w:id="13" w:name="OLE_LINK123"/>
      <w:bookmarkStart w:id="14" w:name="OLE_LINK122"/>
      <w:r>
        <w:rPr>
          <w:rFonts w:hint="eastAsia" w:ascii="黑体" w:hAnsi="黑体" w:eastAsia="黑体" w:cs="仿宋_GB2312"/>
          <w:szCs w:val="32"/>
          <w:highlight w:val="none"/>
          <w:lang w:val="zh-CN"/>
        </w:rPr>
        <w:t>（六）记录</w:t>
      </w:r>
      <w:bookmarkEnd w:id="13"/>
      <w:bookmarkEnd w:id="14"/>
    </w:p>
    <w:p w14:paraId="5E7C46CB">
      <w:pPr>
        <w:spacing w:line="278" w:lineRule="auto"/>
        <w:ind w:firstLine="56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sz w:val="28"/>
          <w:szCs w:val="22"/>
        </w:rPr>
        <w:t>本章节</w:t>
      </w:r>
      <w:r>
        <w:rPr>
          <w:rFonts w:hint="eastAsia"/>
          <w:sz w:val="28"/>
          <w:szCs w:val="22"/>
          <w:lang w:eastAsia="zh-CN"/>
        </w:rPr>
        <w:t>主要考虑到</w:t>
      </w:r>
      <w:r>
        <w:rPr>
          <w:sz w:val="28"/>
          <w:szCs w:val="22"/>
        </w:rPr>
        <w:t>整个标准体系得以有效运行和持续改进。确立了运输全过程信息可追溯的强制性要求，将之前各章节的操作规范转化为必须记录的数据证据。</w:t>
      </w:r>
      <w:r>
        <w:rPr>
          <w:rFonts w:hint="eastAsia" w:ascii="仿宋_GB2312" w:hAnsi="宋体"/>
          <w:sz w:val="28"/>
          <w:szCs w:val="28"/>
        </w:rPr>
        <w:t>表格的设计将不仅仅包含通用信息（如发货人、收货人、温度），更重要的是会包含一系列针对横县鱼生特色的监控指标。</w:t>
      </w:r>
    </w:p>
    <w:p w14:paraId="72284B78">
      <w:pPr>
        <w:autoSpaceDE w:val="0"/>
        <w:autoSpaceDN w:val="0"/>
        <w:adjustRightInd w:val="0"/>
        <w:spacing w:line="560" w:lineRule="exact"/>
        <w:ind w:firstLine="560"/>
        <w:jc w:val="left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事后追溯与问题排查：一旦运输到达的鱼或配菜出现质量问题（如大量死亡、品质下降、微生物超标），详实的记录是查找问题根源的唯一途径。可以通过回溯温度曲线、溶氧变化、装卸时间等数据，精准定位是哪个环节出现了偏差。明确责任边界：清晰的交接记录（如到货时间、抽检合格率、双方签字）可以有效界定运输方与接收方之间的责任，减少纠纷。</w:t>
      </w:r>
    </w:p>
    <w:p w14:paraId="0E389F5F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六、</w:t>
      </w:r>
      <w:bookmarkEnd w:id="11"/>
      <w:r>
        <w:rPr>
          <w:rFonts w:hint="eastAsia" w:ascii="黑体" w:hAnsi="黑体" w:eastAsia="黑体" w:cs="仿宋_GB2312"/>
          <w:szCs w:val="32"/>
        </w:rPr>
        <w:t>重大分歧意见的处理经过和依据</w:t>
      </w:r>
    </w:p>
    <w:p w14:paraId="2D46AC78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本标准研制过程中无重大分歧意见。</w:t>
      </w:r>
    </w:p>
    <w:p w14:paraId="0B5350D6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七</w:t>
      </w:r>
      <w:r>
        <w:rPr>
          <w:rFonts w:ascii="黑体" w:hAnsi="黑体" w:eastAsia="黑体" w:cs="仿宋_GB2312"/>
          <w:szCs w:val="32"/>
        </w:rPr>
        <w:t>、</w:t>
      </w:r>
      <w:r>
        <w:rPr>
          <w:rFonts w:hint="eastAsia" w:ascii="黑体" w:hAnsi="黑体" w:eastAsia="黑体" w:cs="仿宋_GB2312"/>
          <w:szCs w:val="32"/>
        </w:rPr>
        <w:t>实施标准的措施</w:t>
      </w:r>
    </w:p>
    <w:p w14:paraId="1650E209">
      <w:pPr>
        <w:spacing w:line="560" w:lineRule="exact"/>
        <w:ind w:firstLine="643"/>
        <w:rPr>
          <w:rFonts w:hint="eastAsia" w:ascii="仿宋_GB2312" w:hAnsi="宋体"/>
          <w:b/>
          <w:szCs w:val="28"/>
        </w:rPr>
      </w:pPr>
      <w:r>
        <w:rPr>
          <w:rFonts w:hint="eastAsia" w:ascii="仿宋_GB2312" w:hAnsi="宋体"/>
          <w:b/>
          <w:szCs w:val="28"/>
        </w:rPr>
        <w:t>（一）标准报批发布后，成立标准宣贯工作组</w:t>
      </w:r>
    </w:p>
    <w:p w14:paraId="37FC20E7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本标准发布后，成立以主要起草人为成员的标准宣贯工作组，主要负责标准的宣贯实施培训计划制定、标准实施交流会策划、标准实施信息反馈收集和标准实施效果评估等工作，并根据标准实施信息反馈和标准实施效果评估情况，及时组织标准复审修订。</w:t>
      </w:r>
    </w:p>
    <w:p w14:paraId="5E870925">
      <w:pPr>
        <w:spacing w:line="560" w:lineRule="exact"/>
        <w:ind w:firstLine="643"/>
        <w:rPr>
          <w:rFonts w:hint="eastAsia" w:ascii="仿宋_GB2312" w:hAnsi="宋体"/>
          <w:b/>
          <w:szCs w:val="28"/>
        </w:rPr>
      </w:pPr>
      <w:r>
        <w:rPr>
          <w:rFonts w:hint="eastAsia" w:ascii="仿宋_GB2312" w:hAnsi="宋体"/>
          <w:b/>
          <w:szCs w:val="28"/>
        </w:rPr>
        <w:t>（二）组织开展标准宣贯培训</w:t>
      </w:r>
    </w:p>
    <w:p w14:paraId="7D76B85D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标准发布实施后，标准宣贯工作小组制作标准解读宣贯培训PPT课件和标准核心技术明白书，并按标准宣贯培训计划深入各市县相关机构、单位开展标准宣贯培训，对标准进行逐条解读，让技术人员掌握标准核心内容，助力标准实施落地。</w:t>
      </w:r>
    </w:p>
    <w:p w14:paraId="4E8BC584">
      <w:pPr>
        <w:spacing w:line="560" w:lineRule="exact"/>
        <w:ind w:firstLine="643"/>
        <w:rPr>
          <w:rFonts w:hint="eastAsia" w:ascii="仿宋_GB2312" w:hAnsi="宋体"/>
          <w:b/>
          <w:szCs w:val="28"/>
        </w:rPr>
      </w:pPr>
      <w:r>
        <w:rPr>
          <w:rFonts w:hint="eastAsia" w:ascii="仿宋_GB2312" w:hAnsi="宋体"/>
          <w:b/>
          <w:szCs w:val="28"/>
        </w:rPr>
        <w:t>（三）开展标准实施交流会，收集标准实施反馈信息</w:t>
      </w:r>
    </w:p>
    <w:p w14:paraId="63252AFF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标准起草小组深入各市县相关机构、单位组织技术人员召开标准实施交流会，听取标准实施过程中存在的问题并做好记录和解答，对存在的问题组织专家团队进行研讨，为标准的复审修订做准备。</w:t>
      </w:r>
    </w:p>
    <w:p w14:paraId="23EF74DF">
      <w:pPr>
        <w:spacing w:line="560" w:lineRule="exact"/>
        <w:ind w:firstLine="643"/>
        <w:rPr>
          <w:rFonts w:hint="eastAsia" w:ascii="仿宋_GB2312" w:hAnsi="宋体"/>
          <w:b/>
          <w:szCs w:val="28"/>
        </w:rPr>
      </w:pPr>
      <w:r>
        <w:rPr>
          <w:rFonts w:hint="eastAsia" w:ascii="仿宋_GB2312" w:hAnsi="宋体"/>
          <w:b/>
          <w:szCs w:val="28"/>
        </w:rPr>
        <w:t>（四）开展标准实施效果评估</w:t>
      </w:r>
    </w:p>
    <w:p w14:paraId="346348A2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标准实施满2年，每年标准宣贯工作组采取网络调查、问卷调查、实地调研、召开座谈会或论证会、专家咨询等方式开展标准实施效果评估，并形成标准实施效果评估报告，为标准的复审修订做准备。</w:t>
      </w:r>
    </w:p>
    <w:p w14:paraId="5FE63C7A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hint="eastAsia" w:ascii="黑体" w:hAnsi="黑体" w:eastAsia="黑体" w:cs="仿宋_GB2312"/>
          <w:szCs w:val="32"/>
        </w:rPr>
      </w:pPr>
      <w:r>
        <w:rPr>
          <w:rFonts w:hint="eastAsia" w:ascii="黑体" w:hAnsi="黑体" w:eastAsia="黑体" w:cs="仿宋_GB2312"/>
          <w:szCs w:val="32"/>
        </w:rPr>
        <w:t>八、其他应当说明的事项</w:t>
      </w:r>
    </w:p>
    <w:p w14:paraId="1EAAF50E">
      <w:pPr>
        <w:spacing w:line="560" w:lineRule="exact"/>
        <w:ind w:firstLine="640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无。</w:t>
      </w:r>
    </w:p>
    <w:p w14:paraId="1F87E0AC">
      <w:pPr>
        <w:spacing w:line="560" w:lineRule="exact"/>
        <w:ind w:firstLine="0" w:firstLineChars="0"/>
        <w:rPr>
          <w:rFonts w:hint="eastAsia" w:ascii="仿宋_GB2312" w:hAnsi="仿宋"/>
          <w:bCs/>
          <w:color w:val="000000"/>
          <w:sz w:val="36"/>
          <w:szCs w:val="32"/>
        </w:rPr>
      </w:pPr>
    </w:p>
    <w:p w14:paraId="3AC2DE02">
      <w:pPr>
        <w:spacing w:line="560" w:lineRule="exact"/>
        <w:ind w:firstLine="640"/>
        <w:jc w:val="right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 xml:space="preserve"> 团体标准《横县鱼生全链条管理  第2部分：运输》</w:t>
      </w:r>
    </w:p>
    <w:p w14:paraId="60CBBD0E">
      <w:pPr>
        <w:spacing w:line="560" w:lineRule="exact"/>
        <w:ind w:firstLine="640"/>
        <w:jc w:val="right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标准编制工作组</w:t>
      </w:r>
    </w:p>
    <w:p w14:paraId="0320A31F">
      <w:pPr>
        <w:spacing w:line="560" w:lineRule="exact"/>
        <w:ind w:firstLine="640"/>
        <w:jc w:val="right"/>
        <w:rPr>
          <w:rFonts w:hint="eastAsia" w:ascii="仿宋_GB2312" w:hAnsi="宋体"/>
          <w:szCs w:val="28"/>
        </w:rPr>
      </w:pPr>
      <w:r>
        <w:rPr>
          <w:rFonts w:hint="eastAsia" w:ascii="仿宋_GB2312" w:hAnsi="宋体"/>
          <w:szCs w:val="28"/>
        </w:rPr>
        <w:t>2025年8月</w:t>
      </w:r>
      <w:r>
        <w:rPr>
          <w:rFonts w:hint="eastAsia" w:ascii="仿宋_GB2312" w:hAnsi="宋体"/>
          <w:szCs w:val="28"/>
          <w:lang w:val="en-US" w:eastAsia="zh-CN"/>
        </w:rPr>
        <w:t>30</w:t>
      </w:r>
      <w:r>
        <w:rPr>
          <w:rFonts w:hint="eastAsia" w:ascii="仿宋_GB2312" w:hAnsi="宋体"/>
          <w:szCs w:val="28"/>
        </w:rPr>
        <w:t>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3316374"/>
    </w:sdtPr>
    <w:sdtContent>
      <w:p w14:paraId="308DD0F6">
        <w:pPr>
          <w:pStyle w:val="4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9633CD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FFE5D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0DF67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9D9BD"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378E8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274CE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E7D34"/>
    <w:multiLevelType w:val="multilevel"/>
    <w:tmpl w:val="BFCE7D34"/>
    <w:lvl w:ilvl="0" w:tentative="0">
      <w:start w:val="1"/>
      <w:numFmt w:val="upperLetter"/>
      <w:suff w:val="space"/>
      <w:lvlText w:val="%1"/>
      <w:lvlJc w:val="left"/>
      <w:pPr>
        <w:ind w:left="425" w:hanging="425"/>
      </w:pPr>
    </w:lvl>
    <w:lvl w:ilvl="1" w:tentative="0">
      <w:start w:val="1"/>
      <w:numFmt w:val="decimal"/>
      <w:pStyle w:val="48"/>
      <w:suff w:val="space"/>
      <w:lvlText w:val="表%1.%2"/>
      <w:lvlJc w:val="center"/>
      <w:pPr>
        <w:ind w:left="0" w:firstLine="0"/>
      </w:pPr>
      <w:rPr>
        <w:rFonts w:hint="eastAsia" w:ascii="黑体" w:hAnsi="Times New Roman" w:eastAsia="黑体" w:cs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5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E09D9079"/>
    <w:multiLevelType w:val="multilevel"/>
    <w:tmpl w:val="E09D9079"/>
    <w:lvl w:ilvl="0" w:tentative="0">
      <w:start w:val="1"/>
      <w:numFmt w:val="none"/>
      <w:suff w:val="nothing"/>
      <w:lvlText w:val="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  <w:textAlignment w:val="baseline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</w:rPr>
    </w:lvl>
    <w:lvl w:ilvl="3" w:tentative="0">
      <w:start w:val="1"/>
      <w:numFmt w:val="decimal"/>
      <w:pStyle w:val="46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7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2">
    <w:nsid w:val="E6F4C356"/>
    <w:multiLevelType w:val="multilevel"/>
    <w:tmpl w:val="E6F4C356"/>
    <w:lvl w:ilvl="0" w:tentative="0">
      <w:start w:val="1"/>
      <w:numFmt w:val="none"/>
      <w:pStyle w:val="49"/>
      <w:lvlText w:val="%1注："/>
      <w:lvlJc w:val="left"/>
      <w:pPr>
        <w:ind w:left="737" w:hanging="374"/>
      </w:pPr>
      <w:rPr>
        <w:rFonts w:hint="eastAsia" w:ascii="黑体" w:hAnsi="Times New Roman" w:eastAsia="黑体" w:cs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</w:lvl>
  </w:abstractNum>
  <w:abstractNum w:abstractNumId="3">
    <w:nsid w:val="EC520B8A"/>
    <w:multiLevelType w:val="multilevel"/>
    <w:tmpl w:val="EC520B8A"/>
    <w:lvl w:ilvl="0" w:tentative="0">
      <w:start w:val="1"/>
      <w:numFmt w:val="none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cs="Times New Roman"/>
      </w:rPr>
    </w:lvl>
    <w:lvl w:ilvl="1" w:tentative="0">
      <w:start w:val="1"/>
      <w:numFmt w:val="decimal"/>
      <w:suff w:val="nothing"/>
      <w:lvlText w:val="%1%2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2" w:tentative="0">
      <w:start w:val="1"/>
      <w:numFmt w:val="decimal"/>
      <w:pStyle w:val="40"/>
      <w:suff w:val="nothing"/>
      <w:lvlText w:val="%1%2.%3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</w:rPr>
    </w:lvl>
    <w:lvl w:ilvl="3" w:tentative="0">
      <w:start w:val="1"/>
      <w:numFmt w:val="decimal"/>
      <w:suff w:val="nothing"/>
      <w:lvlText w:val="%1%2.%3.%4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tabs>
          <w:tab w:val="left" w:pos="0"/>
        </w:tabs>
        <w:ind w:left="0" w:firstLine="0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72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/>
      </w:rPr>
    </w:lvl>
  </w:abstractNum>
  <w:abstractNum w:abstractNumId="4">
    <w:nsid w:val="011066EE"/>
    <w:multiLevelType w:val="multilevel"/>
    <w:tmpl w:val="011066E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仿宋_GB2312" w:hAnsi="宋体" w:eastAsia="仿宋_GB2312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79102AD"/>
    <w:multiLevelType w:val="multilevel"/>
    <w:tmpl w:val="079102AD"/>
    <w:lvl w:ilvl="0" w:tentative="0">
      <w:start w:val="1"/>
      <w:numFmt w:val="decimal"/>
      <w:pStyle w:val="2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6">
    <w:nsid w:val="0DDE2B46"/>
    <w:multiLevelType w:val="multilevel"/>
    <w:tmpl w:val="0DDE2B46"/>
    <w:lvl w:ilvl="0" w:tentative="0">
      <w:start w:val="1"/>
      <w:numFmt w:val="lowerLetter"/>
      <w:pStyle w:val="27"/>
      <w:suff w:val="nothing"/>
      <w:lvlText w:val="%1   "/>
      <w:lvlJc w:val="left"/>
      <w:pPr>
        <w:ind w:left="544" w:hanging="181"/>
      </w:pPr>
      <w:rPr>
        <w:rFonts w:hint="eastAsia" w:ascii="宋体" w:hAns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7">
    <w:nsid w:val="19A288B3"/>
    <w:multiLevelType w:val="multilevel"/>
    <w:tmpl w:val="19A288B3"/>
    <w:lvl w:ilvl="0" w:tentative="0">
      <w:start w:val="1"/>
      <w:numFmt w:val="upperLetter"/>
      <w:suff w:val="nothing"/>
      <w:lvlText w:val="附录%1"/>
      <w:lvlJc w:val="left"/>
      <w:pPr>
        <w:ind w:left="0" w:firstLine="0"/>
      </w:pPr>
      <w:rPr>
        <w:spacing w:val="100"/>
      </w:rPr>
    </w:lvl>
    <w:lvl w:ilvl="1" w:tentative="0">
      <w:start w:val="1"/>
      <w:numFmt w:val="decimal"/>
      <w:pStyle w:val="4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8">
    <w:nsid w:val="1DBF583A"/>
    <w:multiLevelType w:val="multilevel"/>
    <w:tmpl w:val="1DBF583A"/>
    <w:lvl w:ilvl="0" w:tentative="0">
      <w:start w:val="1"/>
      <w:numFmt w:val="decimal"/>
      <w:pStyle w:val="26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9">
    <w:nsid w:val="1FC91163"/>
    <w:multiLevelType w:val="multilevel"/>
    <w:tmpl w:val="1FC91163"/>
    <w:lvl w:ilvl="0" w:tentative="0">
      <w:start w:val="1"/>
      <w:numFmt w:val="decimal"/>
      <w:pStyle w:val="1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9"/>
      <w:suff w:val="nothing"/>
      <w:lvlText w:val="%1.%2　"/>
      <w:lvlJc w:val="left"/>
      <w:pPr>
        <w:ind w:left="525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2A8F7113"/>
    <w:multiLevelType w:val="multilevel"/>
    <w:tmpl w:val="2A8F7113"/>
    <w:lvl w:ilvl="0" w:tentative="0">
      <w:start w:val="1"/>
      <w:numFmt w:val="upperLetter"/>
      <w:pStyle w:val="24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1">
    <w:nsid w:val="303061FD"/>
    <w:multiLevelType w:val="multilevel"/>
    <w:tmpl w:val="303061FD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abstractNum w:abstractNumId="12">
    <w:nsid w:val="34FD0FF7"/>
    <w:multiLevelType w:val="multilevel"/>
    <w:tmpl w:val="34FD0FF7"/>
    <w:lvl w:ilvl="0" w:tentative="0">
      <w:start w:val="1"/>
      <w:numFmt w:val="none"/>
      <w:suff w:val="nothing"/>
      <w:lvlText w:val="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  <w:textAlignment w:val="baseline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</w:rPr>
    </w:lvl>
    <w:lvl w:ilvl="3" w:tentative="0">
      <w:start w:val="1"/>
      <w:numFmt w:val="decimal"/>
      <w:pStyle w:val="43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 w:cs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7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3">
    <w:nsid w:val="37894977"/>
    <w:multiLevelType w:val="multilevel"/>
    <w:tmpl w:val="378949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仿宋_GB2312" w:hAnsi="宋体" w:eastAsia="仿宋_GB2312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3A355D9"/>
    <w:multiLevelType w:val="multilevel"/>
    <w:tmpl w:val="53A355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仿宋_GB2312" w:hAnsi="宋体" w:eastAsia="仿宋_GB2312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57C2AF5"/>
    <w:multiLevelType w:val="multilevel"/>
    <w:tmpl w:val="557C2AF5"/>
    <w:lvl w:ilvl="0" w:tentative="0">
      <w:start w:val="1"/>
      <w:numFmt w:val="decimal"/>
      <w:pStyle w:val="16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5B36EB98"/>
    <w:multiLevelType w:val="multilevel"/>
    <w:tmpl w:val="5B36EB98"/>
    <w:lvl w:ilvl="0" w:tentative="0">
      <w:start w:val="1"/>
      <w:numFmt w:val="none"/>
      <w:pStyle w:val="4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 w:cs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851" w:hanging="431"/>
      </w:pPr>
      <w:rPr>
        <w:rFonts w:ascii="Symbol" w:hAnsi="Symbol" w:cs="Symbol"/>
        <w:sz w:val="21"/>
      </w:rPr>
    </w:lvl>
    <w:lvl w:ilvl="2" w:tentative="0">
      <w:start w:val="1"/>
      <w:numFmt w:val="bullet"/>
      <w:lvlText w:val=""/>
      <w:lvlJc w:val="left"/>
      <w:pPr>
        <w:ind w:left="851" w:hanging="426"/>
      </w:pPr>
      <w:rPr>
        <w:rFonts w:hint="default" w:ascii="Wingdings" w:hAnsi="Wingdings" w:cs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</w:lvl>
  </w:abstractNum>
  <w:abstractNum w:abstractNumId="17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8">
    <w:nsid w:val="646260FA"/>
    <w:multiLevelType w:val="multilevel"/>
    <w:tmpl w:val="646260FA"/>
    <w:lvl w:ilvl="0" w:tentative="0">
      <w:start w:val="1"/>
      <w:numFmt w:val="decimal"/>
      <w:pStyle w:val="15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9">
    <w:nsid w:val="67CA04B7"/>
    <w:multiLevelType w:val="multilevel"/>
    <w:tmpl w:val="67CA04B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仿宋_GB2312" w:hAnsi="宋体" w:eastAsia="仿宋_GB2312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2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4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6"/>
  </w:num>
  <w:num w:numId="8">
    <w:abstractNumId w:val="17"/>
  </w:num>
  <w:num w:numId="9">
    <w:abstractNumId w:val="3"/>
  </w:num>
  <w:num w:numId="10">
    <w:abstractNumId w:val="20"/>
  </w:num>
  <w:num w:numId="11">
    <w:abstractNumId w:val="12"/>
  </w:num>
  <w:num w:numId="12">
    <w:abstractNumId w:val="16"/>
  </w:num>
  <w:num w:numId="13">
    <w:abstractNumId w:val="1"/>
  </w:num>
  <w:num w:numId="14">
    <w:abstractNumId w:val="7"/>
  </w:num>
  <w:num w:numId="15">
    <w:abstractNumId w:val="0"/>
  </w:num>
  <w:num w:numId="16">
    <w:abstractNumId w:val="2"/>
  </w:num>
  <w:num w:numId="17">
    <w:abstractNumId w:val="11"/>
  </w:num>
  <w:num w:numId="18">
    <w:abstractNumId w:val="13"/>
  </w:num>
  <w:num w:numId="19">
    <w:abstractNumId w:val="14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2E"/>
    <w:rsid w:val="0000457E"/>
    <w:rsid w:val="00005CA4"/>
    <w:rsid w:val="000107BC"/>
    <w:rsid w:val="00013090"/>
    <w:rsid w:val="00016837"/>
    <w:rsid w:val="00021331"/>
    <w:rsid w:val="00023119"/>
    <w:rsid w:val="00023FE2"/>
    <w:rsid w:val="00024212"/>
    <w:rsid w:val="00024664"/>
    <w:rsid w:val="00032CD6"/>
    <w:rsid w:val="00033257"/>
    <w:rsid w:val="00034233"/>
    <w:rsid w:val="00034BDB"/>
    <w:rsid w:val="00047D7B"/>
    <w:rsid w:val="00053B0B"/>
    <w:rsid w:val="00056C7D"/>
    <w:rsid w:val="000576D0"/>
    <w:rsid w:val="00057758"/>
    <w:rsid w:val="00060FE2"/>
    <w:rsid w:val="0007330D"/>
    <w:rsid w:val="00073F72"/>
    <w:rsid w:val="00074EB1"/>
    <w:rsid w:val="00076BBA"/>
    <w:rsid w:val="00080F2F"/>
    <w:rsid w:val="0008145A"/>
    <w:rsid w:val="0009177A"/>
    <w:rsid w:val="0009191C"/>
    <w:rsid w:val="00091934"/>
    <w:rsid w:val="00092049"/>
    <w:rsid w:val="00093E74"/>
    <w:rsid w:val="000962F6"/>
    <w:rsid w:val="000A0201"/>
    <w:rsid w:val="000A1EAE"/>
    <w:rsid w:val="000A3070"/>
    <w:rsid w:val="000A4601"/>
    <w:rsid w:val="000A77CD"/>
    <w:rsid w:val="000B572A"/>
    <w:rsid w:val="000D0ACE"/>
    <w:rsid w:val="000D15BE"/>
    <w:rsid w:val="000D5AC8"/>
    <w:rsid w:val="000D6612"/>
    <w:rsid w:val="000D751C"/>
    <w:rsid w:val="000D7F33"/>
    <w:rsid w:val="000F10EB"/>
    <w:rsid w:val="000F3365"/>
    <w:rsid w:val="000F517A"/>
    <w:rsid w:val="001012D5"/>
    <w:rsid w:val="00101D2E"/>
    <w:rsid w:val="00103B83"/>
    <w:rsid w:val="00105252"/>
    <w:rsid w:val="001062E3"/>
    <w:rsid w:val="00106661"/>
    <w:rsid w:val="0010769F"/>
    <w:rsid w:val="00110864"/>
    <w:rsid w:val="00110F43"/>
    <w:rsid w:val="00112415"/>
    <w:rsid w:val="00113B53"/>
    <w:rsid w:val="00114946"/>
    <w:rsid w:val="00122573"/>
    <w:rsid w:val="00124F56"/>
    <w:rsid w:val="00126CA6"/>
    <w:rsid w:val="001273E7"/>
    <w:rsid w:val="00127EB0"/>
    <w:rsid w:val="00131B03"/>
    <w:rsid w:val="00132C5F"/>
    <w:rsid w:val="00133342"/>
    <w:rsid w:val="00133786"/>
    <w:rsid w:val="00134DD4"/>
    <w:rsid w:val="001435D3"/>
    <w:rsid w:val="001449B5"/>
    <w:rsid w:val="001463AC"/>
    <w:rsid w:val="00151076"/>
    <w:rsid w:val="0015152A"/>
    <w:rsid w:val="00156020"/>
    <w:rsid w:val="00156663"/>
    <w:rsid w:val="00157520"/>
    <w:rsid w:val="001611BB"/>
    <w:rsid w:val="00167167"/>
    <w:rsid w:val="001708F8"/>
    <w:rsid w:val="0018112C"/>
    <w:rsid w:val="00183467"/>
    <w:rsid w:val="0018451D"/>
    <w:rsid w:val="00190A64"/>
    <w:rsid w:val="00190C6A"/>
    <w:rsid w:val="00191774"/>
    <w:rsid w:val="00191DCE"/>
    <w:rsid w:val="001923CF"/>
    <w:rsid w:val="001925FD"/>
    <w:rsid w:val="00192FF7"/>
    <w:rsid w:val="001930A1"/>
    <w:rsid w:val="00194FE3"/>
    <w:rsid w:val="00196054"/>
    <w:rsid w:val="0019711F"/>
    <w:rsid w:val="001A0DBF"/>
    <w:rsid w:val="001A3402"/>
    <w:rsid w:val="001B0E92"/>
    <w:rsid w:val="001B36E5"/>
    <w:rsid w:val="001B3B17"/>
    <w:rsid w:val="001C5F01"/>
    <w:rsid w:val="001C793C"/>
    <w:rsid w:val="001D2198"/>
    <w:rsid w:val="001D22F0"/>
    <w:rsid w:val="001D64DB"/>
    <w:rsid w:val="001D7816"/>
    <w:rsid w:val="001E5000"/>
    <w:rsid w:val="001F07A8"/>
    <w:rsid w:val="001F16E6"/>
    <w:rsid w:val="001F241E"/>
    <w:rsid w:val="001F537A"/>
    <w:rsid w:val="001F660A"/>
    <w:rsid w:val="001F79F5"/>
    <w:rsid w:val="001F7E35"/>
    <w:rsid w:val="00205603"/>
    <w:rsid w:val="00210916"/>
    <w:rsid w:val="002116FB"/>
    <w:rsid w:val="00214221"/>
    <w:rsid w:val="00217683"/>
    <w:rsid w:val="002223DD"/>
    <w:rsid w:val="002231E8"/>
    <w:rsid w:val="00223EB7"/>
    <w:rsid w:val="00224EB8"/>
    <w:rsid w:val="00231E62"/>
    <w:rsid w:val="00232769"/>
    <w:rsid w:val="00244ADA"/>
    <w:rsid w:val="00244C0C"/>
    <w:rsid w:val="002465C7"/>
    <w:rsid w:val="002478AF"/>
    <w:rsid w:val="002526F3"/>
    <w:rsid w:val="00254F7A"/>
    <w:rsid w:val="00256FE0"/>
    <w:rsid w:val="002614C6"/>
    <w:rsid w:val="002620FB"/>
    <w:rsid w:val="002621E1"/>
    <w:rsid w:val="00262753"/>
    <w:rsid w:val="00262771"/>
    <w:rsid w:val="00262F6C"/>
    <w:rsid w:val="00264A7D"/>
    <w:rsid w:val="00264CE4"/>
    <w:rsid w:val="002651A9"/>
    <w:rsid w:val="00266090"/>
    <w:rsid w:val="002674A8"/>
    <w:rsid w:val="0027235B"/>
    <w:rsid w:val="00277C35"/>
    <w:rsid w:val="00283085"/>
    <w:rsid w:val="00283E25"/>
    <w:rsid w:val="0029084D"/>
    <w:rsid w:val="00291D7F"/>
    <w:rsid w:val="00291EF3"/>
    <w:rsid w:val="002932CA"/>
    <w:rsid w:val="002952AC"/>
    <w:rsid w:val="002A2FCF"/>
    <w:rsid w:val="002A4D06"/>
    <w:rsid w:val="002A5D80"/>
    <w:rsid w:val="002B07E3"/>
    <w:rsid w:val="002B23AB"/>
    <w:rsid w:val="002B2E35"/>
    <w:rsid w:val="002B3D69"/>
    <w:rsid w:val="002B5497"/>
    <w:rsid w:val="002C1D2A"/>
    <w:rsid w:val="002C3644"/>
    <w:rsid w:val="002C4618"/>
    <w:rsid w:val="002C4FFB"/>
    <w:rsid w:val="002C5534"/>
    <w:rsid w:val="002C611B"/>
    <w:rsid w:val="002C73B6"/>
    <w:rsid w:val="002D2662"/>
    <w:rsid w:val="002D49CC"/>
    <w:rsid w:val="002D66CC"/>
    <w:rsid w:val="002D6D1E"/>
    <w:rsid w:val="002E073F"/>
    <w:rsid w:val="002E7467"/>
    <w:rsid w:val="002E7A35"/>
    <w:rsid w:val="002F34AA"/>
    <w:rsid w:val="002F4B59"/>
    <w:rsid w:val="002F4D7B"/>
    <w:rsid w:val="002F513F"/>
    <w:rsid w:val="002F613B"/>
    <w:rsid w:val="003025DF"/>
    <w:rsid w:val="00303E23"/>
    <w:rsid w:val="00304BFD"/>
    <w:rsid w:val="00306925"/>
    <w:rsid w:val="0031011D"/>
    <w:rsid w:val="00311AEE"/>
    <w:rsid w:val="003144B8"/>
    <w:rsid w:val="00314640"/>
    <w:rsid w:val="00327623"/>
    <w:rsid w:val="0033375C"/>
    <w:rsid w:val="0034090F"/>
    <w:rsid w:val="00343C24"/>
    <w:rsid w:val="00344E17"/>
    <w:rsid w:val="00345BCC"/>
    <w:rsid w:val="00352D8D"/>
    <w:rsid w:val="00353735"/>
    <w:rsid w:val="00354D06"/>
    <w:rsid w:val="00356D19"/>
    <w:rsid w:val="00357A1D"/>
    <w:rsid w:val="00357E18"/>
    <w:rsid w:val="0036001E"/>
    <w:rsid w:val="00360952"/>
    <w:rsid w:val="003620B6"/>
    <w:rsid w:val="00362F10"/>
    <w:rsid w:val="00365252"/>
    <w:rsid w:val="00372A01"/>
    <w:rsid w:val="00372C98"/>
    <w:rsid w:val="00373BAD"/>
    <w:rsid w:val="00374390"/>
    <w:rsid w:val="003754CF"/>
    <w:rsid w:val="00381796"/>
    <w:rsid w:val="00382AB2"/>
    <w:rsid w:val="00386647"/>
    <w:rsid w:val="00391984"/>
    <w:rsid w:val="00392E22"/>
    <w:rsid w:val="00396025"/>
    <w:rsid w:val="003B2F32"/>
    <w:rsid w:val="003B5050"/>
    <w:rsid w:val="003B729F"/>
    <w:rsid w:val="003C2C74"/>
    <w:rsid w:val="003C2D44"/>
    <w:rsid w:val="003C483D"/>
    <w:rsid w:val="003C642C"/>
    <w:rsid w:val="003D3AF0"/>
    <w:rsid w:val="003D48B6"/>
    <w:rsid w:val="003D51D0"/>
    <w:rsid w:val="003D5CB5"/>
    <w:rsid w:val="003D6E58"/>
    <w:rsid w:val="003E330B"/>
    <w:rsid w:val="003E4A86"/>
    <w:rsid w:val="003F284D"/>
    <w:rsid w:val="003F28D0"/>
    <w:rsid w:val="003F3119"/>
    <w:rsid w:val="003F392A"/>
    <w:rsid w:val="003F3AAC"/>
    <w:rsid w:val="003F727B"/>
    <w:rsid w:val="003F75DE"/>
    <w:rsid w:val="0040035D"/>
    <w:rsid w:val="00403F64"/>
    <w:rsid w:val="00404BD1"/>
    <w:rsid w:val="004050BE"/>
    <w:rsid w:val="0040610D"/>
    <w:rsid w:val="00406A80"/>
    <w:rsid w:val="00415729"/>
    <w:rsid w:val="0042062E"/>
    <w:rsid w:val="00424AF1"/>
    <w:rsid w:val="00424FCB"/>
    <w:rsid w:val="00425860"/>
    <w:rsid w:val="00427B81"/>
    <w:rsid w:val="00434E46"/>
    <w:rsid w:val="00434F90"/>
    <w:rsid w:val="004378E4"/>
    <w:rsid w:val="0044118D"/>
    <w:rsid w:val="004441BD"/>
    <w:rsid w:val="004503F4"/>
    <w:rsid w:val="004535ED"/>
    <w:rsid w:val="0045483D"/>
    <w:rsid w:val="00455661"/>
    <w:rsid w:val="0046025A"/>
    <w:rsid w:val="00460359"/>
    <w:rsid w:val="004605D8"/>
    <w:rsid w:val="004626AF"/>
    <w:rsid w:val="00462BA6"/>
    <w:rsid w:val="00465230"/>
    <w:rsid w:val="00467DEF"/>
    <w:rsid w:val="004715D8"/>
    <w:rsid w:val="00475C51"/>
    <w:rsid w:val="004805D0"/>
    <w:rsid w:val="00480BA1"/>
    <w:rsid w:val="00481328"/>
    <w:rsid w:val="004814A9"/>
    <w:rsid w:val="0048357F"/>
    <w:rsid w:val="00484EF3"/>
    <w:rsid w:val="00485212"/>
    <w:rsid w:val="004865C9"/>
    <w:rsid w:val="0049011A"/>
    <w:rsid w:val="00491FE3"/>
    <w:rsid w:val="0049241F"/>
    <w:rsid w:val="0049390C"/>
    <w:rsid w:val="004A25C4"/>
    <w:rsid w:val="004A2878"/>
    <w:rsid w:val="004A614E"/>
    <w:rsid w:val="004A660C"/>
    <w:rsid w:val="004A76AB"/>
    <w:rsid w:val="004B2E7F"/>
    <w:rsid w:val="004B31EC"/>
    <w:rsid w:val="004C4136"/>
    <w:rsid w:val="004C74A5"/>
    <w:rsid w:val="004D155D"/>
    <w:rsid w:val="004D2302"/>
    <w:rsid w:val="004D393C"/>
    <w:rsid w:val="004D5B22"/>
    <w:rsid w:val="004E3026"/>
    <w:rsid w:val="004F0593"/>
    <w:rsid w:val="004F48C2"/>
    <w:rsid w:val="004F74F0"/>
    <w:rsid w:val="004F7FA9"/>
    <w:rsid w:val="005009D1"/>
    <w:rsid w:val="0050156A"/>
    <w:rsid w:val="00505469"/>
    <w:rsid w:val="005066ED"/>
    <w:rsid w:val="005067C2"/>
    <w:rsid w:val="0051028F"/>
    <w:rsid w:val="0051148B"/>
    <w:rsid w:val="00513080"/>
    <w:rsid w:val="00514C97"/>
    <w:rsid w:val="005159F5"/>
    <w:rsid w:val="00516AFA"/>
    <w:rsid w:val="00526200"/>
    <w:rsid w:val="005269CF"/>
    <w:rsid w:val="00533886"/>
    <w:rsid w:val="0053418A"/>
    <w:rsid w:val="00535AC6"/>
    <w:rsid w:val="00537550"/>
    <w:rsid w:val="00541E4A"/>
    <w:rsid w:val="0054317B"/>
    <w:rsid w:val="00546DEA"/>
    <w:rsid w:val="00550145"/>
    <w:rsid w:val="005639F8"/>
    <w:rsid w:val="005656AA"/>
    <w:rsid w:val="00566C87"/>
    <w:rsid w:val="005742DB"/>
    <w:rsid w:val="00577C08"/>
    <w:rsid w:val="005802BD"/>
    <w:rsid w:val="0058151C"/>
    <w:rsid w:val="00581CE7"/>
    <w:rsid w:val="00582F5C"/>
    <w:rsid w:val="0058472C"/>
    <w:rsid w:val="005870E5"/>
    <w:rsid w:val="005873D6"/>
    <w:rsid w:val="005876DE"/>
    <w:rsid w:val="00593466"/>
    <w:rsid w:val="00596702"/>
    <w:rsid w:val="005974D7"/>
    <w:rsid w:val="005977DE"/>
    <w:rsid w:val="005A1A17"/>
    <w:rsid w:val="005A4523"/>
    <w:rsid w:val="005A4707"/>
    <w:rsid w:val="005B0CDC"/>
    <w:rsid w:val="005B2261"/>
    <w:rsid w:val="005B23F7"/>
    <w:rsid w:val="005B7128"/>
    <w:rsid w:val="005B76D5"/>
    <w:rsid w:val="005B7B7E"/>
    <w:rsid w:val="005C468E"/>
    <w:rsid w:val="005D06D6"/>
    <w:rsid w:val="005D1EE1"/>
    <w:rsid w:val="005D2762"/>
    <w:rsid w:val="005D2AEE"/>
    <w:rsid w:val="005D3F96"/>
    <w:rsid w:val="005D5DDF"/>
    <w:rsid w:val="005D6A5C"/>
    <w:rsid w:val="005D7CDB"/>
    <w:rsid w:val="005E05D4"/>
    <w:rsid w:val="005E207A"/>
    <w:rsid w:val="005E2143"/>
    <w:rsid w:val="005F0995"/>
    <w:rsid w:val="005F1E35"/>
    <w:rsid w:val="005F36D9"/>
    <w:rsid w:val="005F4F92"/>
    <w:rsid w:val="005F6C71"/>
    <w:rsid w:val="005F71EC"/>
    <w:rsid w:val="005F7613"/>
    <w:rsid w:val="006038B2"/>
    <w:rsid w:val="006062AE"/>
    <w:rsid w:val="0060656D"/>
    <w:rsid w:val="00606B5A"/>
    <w:rsid w:val="00610884"/>
    <w:rsid w:val="00614347"/>
    <w:rsid w:val="006147DA"/>
    <w:rsid w:val="0062702A"/>
    <w:rsid w:val="006351A3"/>
    <w:rsid w:val="00636DF8"/>
    <w:rsid w:val="006404F1"/>
    <w:rsid w:val="0064449B"/>
    <w:rsid w:val="00644EED"/>
    <w:rsid w:val="006467C4"/>
    <w:rsid w:val="00651C9C"/>
    <w:rsid w:val="00654D8C"/>
    <w:rsid w:val="006555D8"/>
    <w:rsid w:val="00655638"/>
    <w:rsid w:val="006573FF"/>
    <w:rsid w:val="006610FC"/>
    <w:rsid w:val="0066440C"/>
    <w:rsid w:val="00664832"/>
    <w:rsid w:val="006670DB"/>
    <w:rsid w:val="00667C57"/>
    <w:rsid w:val="0067586A"/>
    <w:rsid w:val="00680EEB"/>
    <w:rsid w:val="006811BF"/>
    <w:rsid w:val="00681C0F"/>
    <w:rsid w:val="00682D7C"/>
    <w:rsid w:val="00682FAD"/>
    <w:rsid w:val="0068494D"/>
    <w:rsid w:val="00690D6C"/>
    <w:rsid w:val="006945D3"/>
    <w:rsid w:val="006A1BD7"/>
    <w:rsid w:val="006A3112"/>
    <w:rsid w:val="006B1080"/>
    <w:rsid w:val="006B2092"/>
    <w:rsid w:val="006B6EA3"/>
    <w:rsid w:val="006C0CC1"/>
    <w:rsid w:val="006C6B87"/>
    <w:rsid w:val="006C70ED"/>
    <w:rsid w:val="006D0354"/>
    <w:rsid w:val="006D4B56"/>
    <w:rsid w:val="006D4CCC"/>
    <w:rsid w:val="006D50EC"/>
    <w:rsid w:val="006D5788"/>
    <w:rsid w:val="006D5D5F"/>
    <w:rsid w:val="006E155C"/>
    <w:rsid w:val="006E65EC"/>
    <w:rsid w:val="006E7520"/>
    <w:rsid w:val="006F03ED"/>
    <w:rsid w:val="006F67E6"/>
    <w:rsid w:val="006F77F7"/>
    <w:rsid w:val="00700D32"/>
    <w:rsid w:val="0070138D"/>
    <w:rsid w:val="00701A2B"/>
    <w:rsid w:val="0070266E"/>
    <w:rsid w:val="00705429"/>
    <w:rsid w:val="00705F4C"/>
    <w:rsid w:val="0070730B"/>
    <w:rsid w:val="00712BC5"/>
    <w:rsid w:val="007143A7"/>
    <w:rsid w:val="00715CA4"/>
    <w:rsid w:val="00716EAC"/>
    <w:rsid w:val="00720395"/>
    <w:rsid w:val="00722AAE"/>
    <w:rsid w:val="0072448B"/>
    <w:rsid w:val="007245EF"/>
    <w:rsid w:val="00726016"/>
    <w:rsid w:val="00726F82"/>
    <w:rsid w:val="00735B90"/>
    <w:rsid w:val="007432F4"/>
    <w:rsid w:val="00753D88"/>
    <w:rsid w:val="0075401E"/>
    <w:rsid w:val="00755471"/>
    <w:rsid w:val="007556A8"/>
    <w:rsid w:val="00756686"/>
    <w:rsid w:val="00760DDA"/>
    <w:rsid w:val="00760FBD"/>
    <w:rsid w:val="00774780"/>
    <w:rsid w:val="007768A2"/>
    <w:rsid w:val="00776FE6"/>
    <w:rsid w:val="007812EA"/>
    <w:rsid w:val="00781F1A"/>
    <w:rsid w:val="00782C84"/>
    <w:rsid w:val="00784D8F"/>
    <w:rsid w:val="007912E9"/>
    <w:rsid w:val="007923BD"/>
    <w:rsid w:val="00793820"/>
    <w:rsid w:val="00794DE3"/>
    <w:rsid w:val="00797654"/>
    <w:rsid w:val="00797B14"/>
    <w:rsid w:val="007A022B"/>
    <w:rsid w:val="007A1A73"/>
    <w:rsid w:val="007A36E9"/>
    <w:rsid w:val="007A4FEA"/>
    <w:rsid w:val="007A5B26"/>
    <w:rsid w:val="007A710B"/>
    <w:rsid w:val="007B0B70"/>
    <w:rsid w:val="007B317A"/>
    <w:rsid w:val="007B4614"/>
    <w:rsid w:val="007B7812"/>
    <w:rsid w:val="007C11E0"/>
    <w:rsid w:val="007C3308"/>
    <w:rsid w:val="007C4C1F"/>
    <w:rsid w:val="007D1773"/>
    <w:rsid w:val="007D3096"/>
    <w:rsid w:val="007D4356"/>
    <w:rsid w:val="007D4FCA"/>
    <w:rsid w:val="007D520B"/>
    <w:rsid w:val="007D5225"/>
    <w:rsid w:val="007D6192"/>
    <w:rsid w:val="007D646F"/>
    <w:rsid w:val="007E0035"/>
    <w:rsid w:val="007F05BA"/>
    <w:rsid w:val="007F1688"/>
    <w:rsid w:val="007F17C2"/>
    <w:rsid w:val="007F3051"/>
    <w:rsid w:val="007F445F"/>
    <w:rsid w:val="007F69C4"/>
    <w:rsid w:val="00800158"/>
    <w:rsid w:val="00800C49"/>
    <w:rsid w:val="008019FB"/>
    <w:rsid w:val="00805B1A"/>
    <w:rsid w:val="00812666"/>
    <w:rsid w:val="00816354"/>
    <w:rsid w:val="00822B8E"/>
    <w:rsid w:val="00825BEF"/>
    <w:rsid w:val="00826AFA"/>
    <w:rsid w:val="008275DE"/>
    <w:rsid w:val="0083025F"/>
    <w:rsid w:val="00831A4E"/>
    <w:rsid w:val="00834158"/>
    <w:rsid w:val="00834F29"/>
    <w:rsid w:val="00837133"/>
    <w:rsid w:val="00841FDD"/>
    <w:rsid w:val="00843099"/>
    <w:rsid w:val="00844A63"/>
    <w:rsid w:val="00845B6B"/>
    <w:rsid w:val="0085555C"/>
    <w:rsid w:val="0085722C"/>
    <w:rsid w:val="00860076"/>
    <w:rsid w:val="00864B42"/>
    <w:rsid w:val="00864EDC"/>
    <w:rsid w:val="008717FD"/>
    <w:rsid w:val="00872085"/>
    <w:rsid w:val="0087311E"/>
    <w:rsid w:val="008766A7"/>
    <w:rsid w:val="0088023F"/>
    <w:rsid w:val="00884AB2"/>
    <w:rsid w:val="008853E8"/>
    <w:rsid w:val="00890B67"/>
    <w:rsid w:val="00893361"/>
    <w:rsid w:val="00893A8E"/>
    <w:rsid w:val="00893CE3"/>
    <w:rsid w:val="008941F8"/>
    <w:rsid w:val="0089639E"/>
    <w:rsid w:val="0089684C"/>
    <w:rsid w:val="008A328F"/>
    <w:rsid w:val="008A42EB"/>
    <w:rsid w:val="008A4E58"/>
    <w:rsid w:val="008A5709"/>
    <w:rsid w:val="008B1A6F"/>
    <w:rsid w:val="008B35DA"/>
    <w:rsid w:val="008B6562"/>
    <w:rsid w:val="008B7C56"/>
    <w:rsid w:val="008C1BE0"/>
    <w:rsid w:val="008C202E"/>
    <w:rsid w:val="008C5328"/>
    <w:rsid w:val="008C6844"/>
    <w:rsid w:val="008D1502"/>
    <w:rsid w:val="008D2E6B"/>
    <w:rsid w:val="008D3059"/>
    <w:rsid w:val="008D44E2"/>
    <w:rsid w:val="008D5C1F"/>
    <w:rsid w:val="008D612C"/>
    <w:rsid w:val="008E0C90"/>
    <w:rsid w:val="008E340A"/>
    <w:rsid w:val="008E71FB"/>
    <w:rsid w:val="008F024A"/>
    <w:rsid w:val="008F4CD3"/>
    <w:rsid w:val="008F62FB"/>
    <w:rsid w:val="00900B1D"/>
    <w:rsid w:val="00901C67"/>
    <w:rsid w:val="009058DF"/>
    <w:rsid w:val="00910D7C"/>
    <w:rsid w:val="00910E34"/>
    <w:rsid w:val="00911CE5"/>
    <w:rsid w:val="009133CD"/>
    <w:rsid w:val="0091490C"/>
    <w:rsid w:val="009204DB"/>
    <w:rsid w:val="009206E4"/>
    <w:rsid w:val="0092128F"/>
    <w:rsid w:val="00922063"/>
    <w:rsid w:val="009220D3"/>
    <w:rsid w:val="009226F2"/>
    <w:rsid w:val="00926314"/>
    <w:rsid w:val="00930317"/>
    <w:rsid w:val="00933333"/>
    <w:rsid w:val="0093364F"/>
    <w:rsid w:val="00934E57"/>
    <w:rsid w:val="00936A0A"/>
    <w:rsid w:val="00944176"/>
    <w:rsid w:val="0094724D"/>
    <w:rsid w:val="009510ED"/>
    <w:rsid w:val="00954E13"/>
    <w:rsid w:val="00955098"/>
    <w:rsid w:val="00962A6D"/>
    <w:rsid w:val="009642C6"/>
    <w:rsid w:val="0096452B"/>
    <w:rsid w:val="00975377"/>
    <w:rsid w:val="0097752F"/>
    <w:rsid w:val="00980E2D"/>
    <w:rsid w:val="00981308"/>
    <w:rsid w:val="00983CDC"/>
    <w:rsid w:val="00983E62"/>
    <w:rsid w:val="00984743"/>
    <w:rsid w:val="00985D99"/>
    <w:rsid w:val="009878F3"/>
    <w:rsid w:val="00987A4E"/>
    <w:rsid w:val="00987C57"/>
    <w:rsid w:val="0099157B"/>
    <w:rsid w:val="0099188F"/>
    <w:rsid w:val="009926D7"/>
    <w:rsid w:val="00993328"/>
    <w:rsid w:val="00995822"/>
    <w:rsid w:val="00997A44"/>
    <w:rsid w:val="009A1FC7"/>
    <w:rsid w:val="009A7254"/>
    <w:rsid w:val="009B2BF4"/>
    <w:rsid w:val="009B52A3"/>
    <w:rsid w:val="009B53BA"/>
    <w:rsid w:val="009B609B"/>
    <w:rsid w:val="009B6F4E"/>
    <w:rsid w:val="009B6FA5"/>
    <w:rsid w:val="009B70E4"/>
    <w:rsid w:val="009B74CD"/>
    <w:rsid w:val="009D1F6F"/>
    <w:rsid w:val="009D38DB"/>
    <w:rsid w:val="009D3D0A"/>
    <w:rsid w:val="009D628E"/>
    <w:rsid w:val="009D62DE"/>
    <w:rsid w:val="009E1F06"/>
    <w:rsid w:val="009E5DEF"/>
    <w:rsid w:val="009E6B6B"/>
    <w:rsid w:val="009F212C"/>
    <w:rsid w:val="009F3B36"/>
    <w:rsid w:val="009F79E3"/>
    <w:rsid w:val="00A01A52"/>
    <w:rsid w:val="00A02A0A"/>
    <w:rsid w:val="00A04717"/>
    <w:rsid w:val="00A04E49"/>
    <w:rsid w:val="00A10236"/>
    <w:rsid w:val="00A10B7E"/>
    <w:rsid w:val="00A11E9D"/>
    <w:rsid w:val="00A1576E"/>
    <w:rsid w:val="00A1598C"/>
    <w:rsid w:val="00A15EDE"/>
    <w:rsid w:val="00A163CB"/>
    <w:rsid w:val="00A24789"/>
    <w:rsid w:val="00A25268"/>
    <w:rsid w:val="00A34924"/>
    <w:rsid w:val="00A35F3F"/>
    <w:rsid w:val="00A3755F"/>
    <w:rsid w:val="00A40234"/>
    <w:rsid w:val="00A4496C"/>
    <w:rsid w:val="00A51BDA"/>
    <w:rsid w:val="00A52FED"/>
    <w:rsid w:val="00A547EA"/>
    <w:rsid w:val="00A54EE3"/>
    <w:rsid w:val="00A60040"/>
    <w:rsid w:val="00A61125"/>
    <w:rsid w:val="00A64033"/>
    <w:rsid w:val="00A65635"/>
    <w:rsid w:val="00A66230"/>
    <w:rsid w:val="00A666E6"/>
    <w:rsid w:val="00A66B33"/>
    <w:rsid w:val="00A706DE"/>
    <w:rsid w:val="00A70BEA"/>
    <w:rsid w:val="00A7226B"/>
    <w:rsid w:val="00A74C23"/>
    <w:rsid w:val="00A77E2C"/>
    <w:rsid w:val="00A80575"/>
    <w:rsid w:val="00A806B3"/>
    <w:rsid w:val="00A80E57"/>
    <w:rsid w:val="00A82337"/>
    <w:rsid w:val="00A90118"/>
    <w:rsid w:val="00A90821"/>
    <w:rsid w:val="00A928C5"/>
    <w:rsid w:val="00A94CCD"/>
    <w:rsid w:val="00A955A3"/>
    <w:rsid w:val="00A958C2"/>
    <w:rsid w:val="00A95C9E"/>
    <w:rsid w:val="00A9612F"/>
    <w:rsid w:val="00A965CD"/>
    <w:rsid w:val="00A96933"/>
    <w:rsid w:val="00A97D34"/>
    <w:rsid w:val="00AA175E"/>
    <w:rsid w:val="00AA1B3F"/>
    <w:rsid w:val="00AA565B"/>
    <w:rsid w:val="00AA6572"/>
    <w:rsid w:val="00AA6DE0"/>
    <w:rsid w:val="00AB0EDD"/>
    <w:rsid w:val="00AB238D"/>
    <w:rsid w:val="00AC5DC1"/>
    <w:rsid w:val="00AD1275"/>
    <w:rsid w:val="00AD56BA"/>
    <w:rsid w:val="00AE5941"/>
    <w:rsid w:val="00AE7E72"/>
    <w:rsid w:val="00AF00B0"/>
    <w:rsid w:val="00AF0B6E"/>
    <w:rsid w:val="00AF0C1B"/>
    <w:rsid w:val="00AF1152"/>
    <w:rsid w:val="00AF20DE"/>
    <w:rsid w:val="00AF2C7E"/>
    <w:rsid w:val="00AF337C"/>
    <w:rsid w:val="00AF365B"/>
    <w:rsid w:val="00AF3BC9"/>
    <w:rsid w:val="00B0152E"/>
    <w:rsid w:val="00B02D5D"/>
    <w:rsid w:val="00B06F77"/>
    <w:rsid w:val="00B07422"/>
    <w:rsid w:val="00B129E3"/>
    <w:rsid w:val="00B17EA4"/>
    <w:rsid w:val="00B2376F"/>
    <w:rsid w:val="00B2401D"/>
    <w:rsid w:val="00B271E2"/>
    <w:rsid w:val="00B27F1E"/>
    <w:rsid w:val="00B320E0"/>
    <w:rsid w:val="00B32D83"/>
    <w:rsid w:val="00B35A2B"/>
    <w:rsid w:val="00B36102"/>
    <w:rsid w:val="00B40143"/>
    <w:rsid w:val="00B44598"/>
    <w:rsid w:val="00B44C87"/>
    <w:rsid w:val="00B45127"/>
    <w:rsid w:val="00B47772"/>
    <w:rsid w:val="00B525E7"/>
    <w:rsid w:val="00B5298A"/>
    <w:rsid w:val="00B52BC2"/>
    <w:rsid w:val="00B54B9E"/>
    <w:rsid w:val="00B5655B"/>
    <w:rsid w:val="00B57715"/>
    <w:rsid w:val="00B602C0"/>
    <w:rsid w:val="00B639CC"/>
    <w:rsid w:val="00B65AA6"/>
    <w:rsid w:val="00B67A38"/>
    <w:rsid w:val="00B70B5F"/>
    <w:rsid w:val="00B736AC"/>
    <w:rsid w:val="00B753D4"/>
    <w:rsid w:val="00B777DB"/>
    <w:rsid w:val="00B804DA"/>
    <w:rsid w:val="00B83BD4"/>
    <w:rsid w:val="00B86C7D"/>
    <w:rsid w:val="00B873B1"/>
    <w:rsid w:val="00B91C42"/>
    <w:rsid w:val="00BB0ED6"/>
    <w:rsid w:val="00BB1C0A"/>
    <w:rsid w:val="00BB4376"/>
    <w:rsid w:val="00BB4A45"/>
    <w:rsid w:val="00BB4B74"/>
    <w:rsid w:val="00BB6FED"/>
    <w:rsid w:val="00BC41B2"/>
    <w:rsid w:val="00BC45B6"/>
    <w:rsid w:val="00BC4F9E"/>
    <w:rsid w:val="00BE0799"/>
    <w:rsid w:val="00BE26D9"/>
    <w:rsid w:val="00BF1119"/>
    <w:rsid w:val="00BF5510"/>
    <w:rsid w:val="00C00C31"/>
    <w:rsid w:val="00C04C3E"/>
    <w:rsid w:val="00C070A2"/>
    <w:rsid w:val="00C10D37"/>
    <w:rsid w:val="00C13A0F"/>
    <w:rsid w:val="00C14C4A"/>
    <w:rsid w:val="00C17E66"/>
    <w:rsid w:val="00C22482"/>
    <w:rsid w:val="00C242A9"/>
    <w:rsid w:val="00C24D87"/>
    <w:rsid w:val="00C3032A"/>
    <w:rsid w:val="00C31C6D"/>
    <w:rsid w:val="00C31FF2"/>
    <w:rsid w:val="00C33C36"/>
    <w:rsid w:val="00C34E53"/>
    <w:rsid w:val="00C37264"/>
    <w:rsid w:val="00C40428"/>
    <w:rsid w:val="00C408D1"/>
    <w:rsid w:val="00C44645"/>
    <w:rsid w:val="00C50A3F"/>
    <w:rsid w:val="00C51474"/>
    <w:rsid w:val="00C51847"/>
    <w:rsid w:val="00C55C36"/>
    <w:rsid w:val="00C61072"/>
    <w:rsid w:val="00C6137D"/>
    <w:rsid w:val="00C61540"/>
    <w:rsid w:val="00C61B0C"/>
    <w:rsid w:val="00C634E4"/>
    <w:rsid w:val="00C67D4C"/>
    <w:rsid w:val="00C706FA"/>
    <w:rsid w:val="00C71FD7"/>
    <w:rsid w:val="00C808FE"/>
    <w:rsid w:val="00C81D18"/>
    <w:rsid w:val="00C82258"/>
    <w:rsid w:val="00C82744"/>
    <w:rsid w:val="00C836D9"/>
    <w:rsid w:val="00C84109"/>
    <w:rsid w:val="00C843F0"/>
    <w:rsid w:val="00C85F66"/>
    <w:rsid w:val="00C87F51"/>
    <w:rsid w:val="00C95F0B"/>
    <w:rsid w:val="00C96EE4"/>
    <w:rsid w:val="00CA0CFD"/>
    <w:rsid w:val="00CA37C8"/>
    <w:rsid w:val="00CA5047"/>
    <w:rsid w:val="00CA7C2A"/>
    <w:rsid w:val="00CC1221"/>
    <w:rsid w:val="00CC4EE7"/>
    <w:rsid w:val="00CC6DD2"/>
    <w:rsid w:val="00CD45E7"/>
    <w:rsid w:val="00CD4CC6"/>
    <w:rsid w:val="00CD58FA"/>
    <w:rsid w:val="00CD5C22"/>
    <w:rsid w:val="00CE363E"/>
    <w:rsid w:val="00CF1430"/>
    <w:rsid w:val="00CF1AE4"/>
    <w:rsid w:val="00D0046C"/>
    <w:rsid w:val="00D00979"/>
    <w:rsid w:val="00D01E3B"/>
    <w:rsid w:val="00D05480"/>
    <w:rsid w:val="00D06EEA"/>
    <w:rsid w:val="00D11946"/>
    <w:rsid w:val="00D14F71"/>
    <w:rsid w:val="00D15612"/>
    <w:rsid w:val="00D156E5"/>
    <w:rsid w:val="00D17A89"/>
    <w:rsid w:val="00D204BD"/>
    <w:rsid w:val="00D21619"/>
    <w:rsid w:val="00D21B1B"/>
    <w:rsid w:val="00D220B5"/>
    <w:rsid w:val="00D26063"/>
    <w:rsid w:val="00D30FB0"/>
    <w:rsid w:val="00D32832"/>
    <w:rsid w:val="00D33C76"/>
    <w:rsid w:val="00D34827"/>
    <w:rsid w:val="00D3642E"/>
    <w:rsid w:val="00D37490"/>
    <w:rsid w:val="00D41F8D"/>
    <w:rsid w:val="00D451AB"/>
    <w:rsid w:val="00D50991"/>
    <w:rsid w:val="00D578AF"/>
    <w:rsid w:val="00D61DA0"/>
    <w:rsid w:val="00D65D7A"/>
    <w:rsid w:val="00D6793A"/>
    <w:rsid w:val="00D7347C"/>
    <w:rsid w:val="00D73693"/>
    <w:rsid w:val="00D736A8"/>
    <w:rsid w:val="00D74D7F"/>
    <w:rsid w:val="00D75348"/>
    <w:rsid w:val="00D80F6F"/>
    <w:rsid w:val="00D820E3"/>
    <w:rsid w:val="00D863C9"/>
    <w:rsid w:val="00D9342C"/>
    <w:rsid w:val="00D93B2C"/>
    <w:rsid w:val="00D944CB"/>
    <w:rsid w:val="00DA326B"/>
    <w:rsid w:val="00DA3BCE"/>
    <w:rsid w:val="00DA59FA"/>
    <w:rsid w:val="00DB1157"/>
    <w:rsid w:val="00DB295F"/>
    <w:rsid w:val="00DB29E4"/>
    <w:rsid w:val="00DB3826"/>
    <w:rsid w:val="00DB47DC"/>
    <w:rsid w:val="00DB74F2"/>
    <w:rsid w:val="00DC205C"/>
    <w:rsid w:val="00DC5687"/>
    <w:rsid w:val="00DC62E7"/>
    <w:rsid w:val="00DC6575"/>
    <w:rsid w:val="00DC7A5D"/>
    <w:rsid w:val="00DD00EF"/>
    <w:rsid w:val="00DD1CF8"/>
    <w:rsid w:val="00DD6102"/>
    <w:rsid w:val="00DD71F1"/>
    <w:rsid w:val="00DE00C5"/>
    <w:rsid w:val="00DE3FB5"/>
    <w:rsid w:val="00DF2749"/>
    <w:rsid w:val="00DF60A6"/>
    <w:rsid w:val="00E00D0A"/>
    <w:rsid w:val="00E05B5A"/>
    <w:rsid w:val="00E05F1B"/>
    <w:rsid w:val="00E07B93"/>
    <w:rsid w:val="00E07E15"/>
    <w:rsid w:val="00E1354A"/>
    <w:rsid w:val="00E161F8"/>
    <w:rsid w:val="00E17FEE"/>
    <w:rsid w:val="00E261A4"/>
    <w:rsid w:val="00E26EE5"/>
    <w:rsid w:val="00E32815"/>
    <w:rsid w:val="00E33554"/>
    <w:rsid w:val="00E40596"/>
    <w:rsid w:val="00E40BA9"/>
    <w:rsid w:val="00E41B77"/>
    <w:rsid w:val="00E45EC3"/>
    <w:rsid w:val="00E47C4F"/>
    <w:rsid w:val="00E53BBB"/>
    <w:rsid w:val="00E541A3"/>
    <w:rsid w:val="00E637BB"/>
    <w:rsid w:val="00E638C8"/>
    <w:rsid w:val="00E658DD"/>
    <w:rsid w:val="00E65D7E"/>
    <w:rsid w:val="00E66D0F"/>
    <w:rsid w:val="00E70383"/>
    <w:rsid w:val="00E7427C"/>
    <w:rsid w:val="00E75972"/>
    <w:rsid w:val="00E815D2"/>
    <w:rsid w:val="00E82204"/>
    <w:rsid w:val="00E8377B"/>
    <w:rsid w:val="00E83A77"/>
    <w:rsid w:val="00E8796C"/>
    <w:rsid w:val="00E90251"/>
    <w:rsid w:val="00E933C0"/>
    <w:rsid w:val="00E962B7"/>
    <w:rsid w:val="00E96877"/>
    <w:rsid w:val="00E978BF"/>
    <w:rsid w:val="00EA1188"/>
    <w:rsid w:val="00EB0752"/>
    <w:rsid w:val="00EB0AE1"/>
    <w:rsid w:val="00EB1186"/>
    <w:rsid w:val="00EB77CC"/>
    <w:rsid w:val="00EC0997"/>
    <w:rsid w:val="00EC2EEF"/>
    <w:rsid w:val="00EC5DDD"/>
    <w:rsid w:val="00ED2F39"/>
    <w:rsid w:val="00ED30F4"/>
    <w:rsid w:val="00ED43BB"/>
    <w:rsid w:val="00ED449A"/>
    <w:rsid w:val="00ED68E9"/>
    <w:rsid w:val="00EE1FC2"/>
    <w:rsid w:val="00EE419C"/>
    <w:rsid w:val="00EF52E8"/>
    <w:rsid w:val="00EF670C"/>
    <w:rsid w:val="00F0455E"/>
    <w:rsid w:val="00F1132A"/>
    <w:rsid w:val="00F11F09"/>
    <w:rsid w:val="00F1455B"/>
    <w:rsid w:val="00F14CEE"/>
    <w:rsid w:val="00F16D36"/>
    <w:rsid w:val="00F210FD"/>
    <w:rsid w:val="00F250D2"/>
    <w:rsid w:val="00F33087"/>
    <w:rsid w:val="00F350B2"/>
    <w:rsid w:val="00F372A2"/>
    <w:rsid w:val="00F4243D"/>
    <w:rsid w:val="00F4304A"/>
    <w:rsid w:val="00F43155"/>
    <w:rsid w:val="00F44DA4"/>
    <w:rsid w:val="00F45BA7"/>
    <w:rsid w:val="00F45BE9"/>
    <w:rsid w:val="00F46308"/>
    <w:rsid w:val="00F46F4A"/>
    <w:rsid w:val="00F52CE1"/>
    <w:rsid w:val="00F57917"/>
    <w:rsid w:val="00F60788"/>
    <w:rsid w:val="00F7063D"/>
    <w:rsid w:val="00F70C88"/>
    <w:rsid w:val="00F7168A"/>
    <w:rsid w:val="00F734AD"/>
    <w:rsid w:val="00F745D9"/>
    <w:rsid w:val="00F76618"/>
    <w:rsid w:val="00F76E42"/>
    <w:rsid w:val="00F81D1B"/>
    <w:rsid w:val="00F83FBC"/>
    <w:rsid w:val="00F841A7"/>
    <w:rsid w:val="00F84292"/>
    <w:rsid w:val="00F85E04"/>
    <w:rsid w:val="00F864DA"/>
    <w:rsid w:val="00F9134D"/>
    <w:rsid w:val="00F916DA"/>
    <w:rsid w:val="00F92643"/>
    <w:rsid w:val="00F936B3"/>
    <w:rsid w:val="00F949E0"/>
    <w:rsid w:val="00F94F88"/>
    <w:rsid w:val="00F97F7D"/>
    <w:rsid w:val="00FA0333"/>
    <w:rsid w:val="00FA19D5"/>
    <w:rsid w:val="00FA3EE8"/>
    <w:rsid w:val="00FA6669"/>
    <w:rsid w:val="00FA7639"/>
    <w:rsid w:val="00FB3457"/>
    <w:rsid w:val="00FB3E2C"/>
    <w:rsid w:val="00FB695B"/>
    <w:rsid w:val="00FC037E"/>
    <w:rsid w:val="00FC19B9"/>
    <w:rsid w:val="00FC4DE3"/>
    <w:rsid w:val="00FC6716"/>
    <w:rsid w:val="00FD00A5"/>
    <w:rsid w:val="00FD4B0F"/>
    <w:rsid w:val="00FE0661"/>
    <w:rsid w:val="00FF0C09"/>
    <w:rsid w:val="00FF1D34"/>
    <w:rsid w:val="00FF1DD7"/>
    <w:rsid w:val="00FF3775"/>
    <w:rsid w:val="00FF3996"/>
    <w:rsid w:val="01CE5D1C"/>
    <w:rsid w:val="026475DE"/>
    <w:rsid w:val="039E595D"/>
    <w:rsid w:val="06E15F8D"/>
    <w:rsid w:val="070F07F6"/>
    <w:rsid w:val="0765096C"/>
    <w:rsid w:val="08083403"/>
    <w:rsid w:val="081C3970"/>
    <w:rsid w:val="09BE5E2A"/>
    <w:rsid w:val="0A091F73"/>
    <w:rsid w:val="0A8504E9"/>
    <w:rsid w:val="0AF54E47"/>
    <w:rsid w:val="0B073D25"/>
    <w:rsid w:val="0C9D4EAB"/>
    <w:rsid w:val="0D92619C"/>
    <w:rsid w:val="0DEA65B5"/>
    <w:rsid w:val="0F412CA9"/>
    <w:rsid w:val="0FD566D2"/>
    <w:rsid w:val="13B2170D"/>
    <w:rsid w:val="13B97480"/>
    <w:rsid w:val="14034EB5"/>
    <w:rsid w:val="14870494"/>
    <w:rsid w:val="15085E8C"/>
    <w:rsid w:val="15174F60"/>
    <w:rsid w:val="1556095A"/>
    <w:rsid w:val="167D7F24"/>
    <w:rsid w:val="17306AB5"/>
    <w:rsid w:val="17373F64"/>
    <w:rsid w:val="19534DA3"/>
    <w:rsid w:val="19A054D6"/>
    <w:rsid w:val="1B0717C8"/>
    <w:rsid w:val="1BA03836"/>
    <w:rsid w:val="1BE33681"/>
    <w:rsid w:val="1CD01572"/>
    <w:rsid w:val="1DCB4E4A"/>
    <w:rsid w:val="1E1467F1"/>
    <w:rsid w:val="1FBDA86D"/>
    <w:rsid w:val="207417C9"/>
    <w:rsid w:val="21862EC6"/>
    <w:rsid w:val="237A2B2A"/>
    <w:rsid w:val="242D2C2D"/>
    <w:rsid w:val="25FBCF81"/>
    <w:rsid w:val="28162E9B"/>
    <w:rsid w:val="28FB2A87"/>
    <w:rsid w:val="2C4F36F5"/>
    <w:rsid w:val="2D5F22BD"/>
    <w:rsid w:val="2FF37D11"/>
    <w:rsid w:val="3013049D"/>
    <w:rsid w:val="332C3D99"/>
    <w:rsid w:val="334836EB"/>
    <w:rsid w:val="33484B1B"/>
    <w:rsid w:val="339259E4"/>
    <w:rsid w:val="365875C5"/>
    <w:rsid w:val="39356049"/>
    <w:rsid w:val="3B4E60E4"/>
    <w:rsid w:val="3BFE2074"/>
    <w:rsid w:val="3F8C7277"/>
    <w:rsid w:val="3FA0222F"/>
    <w:rsid w:val="3FDF106E"/>
    <w:rsid w:val="414601C0"/>
    <w:rsid w:val="42C133BC"/>
    <w:rsid w:val="42D769B6"/>
    <w:rsid w:val="44F600D3"/>
    <w:rsid w:val="45617704"/>
    <w:rsid w:val="459B4F7E"/>
    <w:rsid w:val="48B048DB"/>
    <w:rsid w:val="4A4831FA"/>
    <w:rsid w:val="4B7C707F"/>
    <w:rsid w:val="4B8C0594"/>
    <w:rsid w:val="4BDFF161"/>
    <w:rsid w:val="4C0F7B1B"/>
    <w:rsid w:val="4C887636"/>
    <w:rsid w:val="4CFE380A"/>
    <w:rsid w:val="4D862B8C"/>
    <w:rsid w:val="4DFF35F5"/>
    <w:rsid w:val="4EBF1B1D"/>
    <w:rsid w:val="4EF47599"/>
    <w:rsid w:val="4FE3578A"/>
    <w:rsid w:val="5382777D"/>
    <w:rsid w:val="53CF9561"/>
    <w:rsid w:val="546121C6"/>
    <w:rsid w:val="54E94B5B"/>
    <w:rsid w:val="55661639"/>
    <w:rsid w:val="55761622"/>
    <w:rsid w:val="5BD857FA"/>
    <w:rsid w:val="5C080481"/>
    <w:rsid w:val="5D1B4C6E"/>
    <w:rsid w:val="5DFE65DB"/>
    <w:rsid w:val="5E202145"/>
    <w:rsid w:val="5F621BCD"/>
    <w:rsid w:val="6031647B"/>
    <w:rsid w:val="60B9109D"/>
    <w:rsid w:val="62F74A7A"/>
    <w:rsid w:val="63BB5260"/>
    <w:rsid w:val="63D25BB7"/>
    <w:rsid w:val="64C23E7D"/>
    <w:rsid w:val="65EE9BF0"/>
    <w:rsid w:val="668E2223"/>
    <w:rsid w:val="67FFD309"/>
    <w:rsid w:val="683026D9"/>
    <w:rsid w:val="693F388B"/>
    <w:rsid w:val="69FFFC0A"/>
    <w:rsid w:val="6D6B2492"/>
    <w:rsid w:val="6DBA21A1"/>
    <w:rsid w:val="6F136B04"/>
    <w:rsid w:val="7304780E"/>
    <w:rsid w:val="73731F46"/>
    <w:rsid w:val="75BB73CE"/>
    <w:rsid w:val="75ED0344"/>
    <w:rsid w:val="78AF3D07"/>
    <w:rsid w:val="7AB14320"/>
    <w:rsid w:val="7AF5051C"/>
    <w:rsid w:val="7BBA680A"/>
    <w:rsid w:val="7BE826AE"/>
    <w:rsid w:val="7BF3368A"/>
    <w:rsid w:val="7CCF532E"/>
    <w:rsid w:val="7DF033B2"/>
    <w:rsid w:val="7E00338F"/>
    <w:rsid w:val="7FAF8CE9"/>
    <w:rsid w:val="7FBE4C82"/>
    <w:rsid w:val="BDF63E3D"/>
    <w:rsid w:val="CB7C5BFC"/>
    <w:rsid w:val="DF3A5D3C"/>
    <w:rsid w:val="EEE3C452"/>
    <w:rsid w:val="EEF751F1"/>
    <w:rsid w:val="F57963B0"/>
    <w:rsid w:val="F9DB69FD"/>
    <w:rsid w:val="FF7E6780"/>
    <w:rsid w:val="FF7F5C5C"/>
    <w:rsid w:val="FFFEF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Balloon Text"/>
    <w:basedOn w:val="1"/>
    <w:link w:val="38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3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customStyle="1" w:styleId="12">
    <w:name w:val="BodyText2"/>
    <w:qFormat/>
    <w:uiPriority w:val="0"/>
    <w:pPr>
      <w:widowControl w:val="0"/>
      <w:spacing w:after="120" w:line="480" w:lineRule="auto"/>
      <w:jc w:val="both"/>
      <w:textAlignment w:val="baseline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customStyle="1" w:styleId="13">
    <w:name w:val="段"/>
    <w:link w:val="2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正文表标题"/>
    <w:next w:val="13"/>
    <w:qFormat/>
    <w:uiPriority w:val="0"/>
    <w:p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正文图标题"/>
    <w:next w:val="13"/>
    <w:qFormat/>
    <w:uiPriority w:val="0"/>
    <w:pPr>
      <w:numPr>
        <w:ilvl w:val="0"/>
        <w:numId w:val="1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numPr>
        <w:ilvl w:val="0"/>
        <w:numId w:val="2"/>
      </w:numPr>
      <w:jc w:val="left"/>
    </w:pPr>
    <w:rPr>
      <w:rFonts w:eastAsia="黑体"/>
      <w:kern w:val="0"/>
      <w:sz w:val="28"/>
      <w:szCs w:val="20"/>
    </w:rPr>
  </w:style>
  <w:style w:type="paragraph" w:customStyle="1" w:styleId="17">
    <w:name w:val="一级条标题"/>
    <w:next w:val="13"/>
    <w:qFormat/>
    <w:uiPriority w:val="0"/>
    <w:pPr>
      <w:spacing w:beforeLines="50" w:afterLines="50"/>
      <w:ind w:left="525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">
    <w:name w:val="章标题"/>
    <w:next w:val="13"/>
    <w:qFormat/>
    <w:uiPriority w:val="0"/>
    <w:pPr>
      <w:numPr>
        <w:ilvl w:val="0"/>
        <w:numId w:val="3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9">
    <w:name w:val="二级条标题"/>
    <w:basedOn w:val="17"/>
    <w:next w:val="13"/>
    <w:qFormat/>
    <w:uiPriority w:val="0"/>
    <w:pPr>
      <w:spacing w:before="50" w:after="50"/>
      <w:outlineLvl w:val="3"/>
    </w:pPr>
  </w:style>
  <w:style w:type="paragraph" w:customStyle="1" w:styleId="20">
    <w:name w:val="三级条标题"/>
    <w:basedOn w:val="19"/>
    <w:next w:val="13"/>
    <w:qFormat/>
    <w:uiPriority w:val="0"/>
    <w:pPr>
      <w:outlineLvl w:val="4"/>
    </w:pPr>
  </w:style>
  <w:style w:type="paragraph" w:customStyle="1" w:styleId="21">
    <w:name w:val="四级条标题"/>
    <w:basedOn w:val="20"/>
    <w:next w:val="13"/>
    <w:qFormat/>
    <w:uiPriority w:val="0"/>
    <w:pPr>
      <w:outlineLvl w:val="5"/>
    </w:pPr>
  </w:style>
  <w:style w:type="paragraph" w:customStyle="1" w:styleId="22">
    <w:name w:val="五级条标题"/>
    <w:basedOn w:val="21"/>
    <w:next w:val="13"/>
    <w:qFormat/>
    <w:uiPriority w:val="0"/>
    <w:pPr>
      <w:outlineLvl w:val="6"/>
    </w:pPr>
  </w:style>
  <w:style w:type="paragraph" w:customStyle="1" w:styleId="23">
    <w:name w:val="注："/>
    <w:next w:val="13"/>
    <w:qFormat/>
    <w:uiPriority w:val="0"/>
    <w:pPr>
      <w:widowControl w:val="0"/>
      <w:numPr>
        <w:ilvl w:val="0"/>
        <w:numId w:val="4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4">
    <w:name w:val="附录图标号"/>
    <w:basedOn w:val="1"/>
    <w:qFormat/>
    <w:uiPriority w:val="0"/>
    <w:pPr>
      <w:keepNext/>
      <w:pageBreakBefore/>
      <w:widowControl/>
      <w:numPr>
        <w:ilvl w:val="0"/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25">
    <w:name w:val="附录图标题"/>
    <w:basedOn w:val="1"/>
    <w:next w:val="13"/>
    <w:qFormat/>
    <w:uiPriority w:val="0"/>
    <w:pPr>
      <w:numPr>
        <w:ilvl w:val="1"/>
        <w:numId w:val="5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26">
    <w:name w:val="注×：（正文）"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7">
    <w:name w:val="图表脚注说明"/>
    <w:basedOn w:val="1"/>
    <w:qFormat/>
    <w:uiPriority w:val="0"/>
    <w:pPr>
      <w:numPr>
        <w:ilvl w:val="0"/>
        <w:numId w:val="7"/>
      </w:numPr>
    </w:pPr>
    <w:rPr>
      <w:rFonts w:ascii="宋体"/>
      <w:sz w:val="18"/>
      <w:szCs w:val="18"/>
    </w:rPr>
  </w:style>
  <w:style w:type="character" w:customStyle="1" w:styleId="28">
    <w:name w:val="段 Char"/>
    <w:basedOn w:val="9"/>
    <w:link w:val="13"/>
    <w:qFormat/>
    <w:uiPriority w:val="0"/>
    <w:rPr>
      <w:rFonts w:ascii="宋体"/>
      <w:sz w:val="21"/>
      <w:lang w:val="en-US" w:eastAsia="zh-CN" w:bidi="ar-SA"/>
    </w:rPr>
  </w:style>
  <w:style w:type="character" w:customStyle="1" w:styleId="29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30">
    <w:name w:val="页脚 字符"/>
    <w:basedOn w:val="9"/>
    <w:link w:val="4"/>
    <w:qFormat/>
    <w:uiPriority w:val="99"/>
    <w:rPr>
      <w:kern w:val="2"/>
      <w:sz w:val="18"/>
      <w:szCs w:val="18"/>
    </w:rPr>
  </w:style>
  <w:style w:type="paragraph" w:customStyle="1" w:styleId="31">
    <w:name w:val="附录表标题"/>
    <w:basedOn w:val="1"/>
    <w:next w:val="13"/>
    <w:qFormat/>
    <w:uiPriority w:val="0"/>
    <w:pPr>
      <w:numPr>
        <w:ilvl w:val="1"/>
        <w:numId w:val="8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styleId="32">
    <w:name w:val="List Paragraph"/>
    <w:basedOn w:val="1"/>
    <w:unhideWhenUsed/>
    <w:qFormat/>
    <w:uiPriority w:val="34"/>
    <w:pPr>
      <w:ind w:firstLine="420"/>
    </w:pPr>
  </w:style>
  <w:style w:type="paragraph" w:customStyle="1" w:styleId="33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3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35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36">
    <w:name w:val="其他发布部门"/>
    <w:basedOn w:val="1"/>
    <w:qFormat/>
    <w:uiPriority w:val="0"/>
    <w:pPr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8">
    <w:name w:val="批注框文本 字符"/>
    <w:basedOn w:val="9"/>
    <w:link w:val="3"/>
    <w:semiHidden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39">
    <w:name w:val="一级无"/>
    <w:basedOn w:val="17"/>
    <w:qFormat/>
    <w:uiPriority w:val="0"/>
    <w:pPr>
      <w:numPr>
        <w:ilvl w:val="1"/>
        <w:numId w:val="3"/>
      </w:numPr>
      <w:spacing w:beforeLines="0" w:afterLines="0"/>
    </w:pPr>
    <w:rPr>
      <w:rFonts w:ascii="宋体" w:eastAsia="宋体"/>
    </w:rPr>
  </w:style>
  <w:style w:type="paragraph" w:customStyle="1" w:styleId="40">
    <w:name w:val="标准文件_一级无标题"/>
    <w:basedOn w:val="41"/>
    <w:qFormat/>
    <w:uiPriority w:val="0"/>
    <w:pPr>
      <w:numPr>
        <w:numId w:val="9"/>
      </w:numPr>
      <w:tabs>
        <w:tab w:val="left" w:pos="0"/>
      </w:tabs>
    </w:pPr>
    <w:rPr>
      <w:rFonts w:hint="eastAsia" w:ascii="宋体"/>
    </w:rPr>
  </w:style>
  <w:style w:type="paragraph" w:customStyle="1" w:styleId="41">
    <w:name w:val="标准文件_一级条标题"/>
    <w:basedOn w:val="42"/>
    <w:next w:val="37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42">
    <w:name w:val="标准文件_章标题"/>
    <w:next w:val="37"/>
    <w:qFormat/>
    <w:uiPriority w:val="0"/>
    <w:pPr>
      <w:numPr>
        <w:ilvl w:val="1"/>
        <w:numId w:val="10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标准文件_二级无标题"/>
    <w:qFormat/>
    <w:uiPriority w:val="0"/>
    <w:pPr>
      <w:widowControl w:val="0"/>
      <w:numPr>
        <w:ilvl w:val="3"/>
        <w:numId w:val="11"/>
      </w:numPr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标准文件_一级项"/>
    <w:basedOn w:val="1"/>
    <w:qFormat/>
    <w:uiPriority w:val="0"/>
    <w:pPr>
      <w:widowControl/>
      <w:numPr>
        <w:ilvl w:val="0"/>
        <w:numId w:val="12"/>
      </w:numPr>
      <w:jc w:val="left"/>
    </w:pPr>
    <w:rPr>
      <w:rFonts w:hint="eastAsia" w:ascii="宋体" w:eastAsia="宋体"/>
      <w:kern w:val="0"/>
      <w:sz w:val="21"/>
      <w:szCs w:val="20"/>
    </w:rPr>
  </w:style>
  <w:style w:type="character" w:customStyle="1" w:styleId="45">
    <w:name w:val="标准文件_段 Char"/>
    <w:basedOn w:val="9"/>
    <w:qFormat/>
    <w:uiPriority w:val="0"/>
    <w:rPr>
      <w:rFonts w:hint="eastAsia" w:ascii="宋体" w:hAnsi="宋体" w:eastAsia="宋体" w:cs="宋体"/>
      <w:sz w:val="21"/>
    </w:rPr>
  </w:style>
  <w:style w:type="paragraph" w:customStyle="1" w:styleId="46">
    <w:name w:val="标准文件_二级条标题"/>
    <w:basedOn w:val="1"/>
    <w:qFormat/>
    <w:uiPriority w:val="0"/>
    <w:pPr>
      <w:numPr>
        <w:ilvl w:val="3"/>
        <w:numId w:val="13"/>
      </w:numPr>
      <w:spacing w:beforeLines="50" w:afterLines="50"/>
      <w:outlineLvl w:val="2"/>
    </w:pPr>
    <w:rPr>
      <w:rFonts w:hint="eastAsia" w:ascii="黑体" w:eastAsia="黑体"/>
      <w:kern w:val="0"/>
      <w:sz w:val="21"/>
      <w:szCs w:val="20"/>
    </w:rPr>
  </w:style>
  <w:style w:type="paragraph" w:customStyle="1" w:styleId="47">
    <w:name w:val="标准文件_附录一级条标题"/>
    <w:basedOn w:val="1"/>
    <w:next w:val="1"/>
    <w:qFormat/>
    <w:uiPriority w:val="0"/>
    <w:pPr>
      <w:numPr>
        <w:ilvl w:val="1"/>
        <w:numId w:val="14"/>
      </w:numPr>
      <w:spacing w:beforeLines="50" w:afterLines="50"/>
      <w:outlineLvl w:val="2"/>
    </w:pPr>
    <w:rPr>
      <w:rFonts w:hint="eastAsia" w:ascii="黑体" w:eastAsia="黑体"/>
      <w:kern w:val="21"/>
      <w:sz w:val="21"/>
      <w:szCs w:val="20"/>
    </w:rPr>
  </w:style>
  <w:style w:type="paragraph" w:customStyle="1" w:styleId="48">
    <w:name w:val="标准文件_附录表标题"/>
    <w:basedOn w:val="1"/>
    <w:qFormat/>
    <w:uiPriority w:val="0"/>
    <w:pPr>
      <w:widowControl/>
      <w:numPr>
        <w:ilvl w:val="1"/>
        <w:numId w:val="15"/>
      </w:numPr>
      <w:adjustRightInd w:val="0"/>
      <w:snapToGrid w:val="0"/>
      <w:spacing w:beforeLines="50" w:afterLines="50"/>
      <w:jc w:val="center"/>
    </w:pPr>
    <w:rPr>
      <w:rFonts w:hint="eastAsia" w:ascii="黑体" w:eastAsia="黑体"/>
      <w:kern w:val="21"/>
      <w:sz w:val="21"/>
      <w:szCs w:val="20"/>
    </w:rPr>
  </w:style>
  <w:style w:type="paragraph" w:customStyle="1" w:styleId="49">
    <w:name w:val="标准文件_注："/>
    <w:basedOn w:val="1"/>
    <w:qFormat/>
    <w:uiPriority w:val="0"/>
    <w:pPr>
      <w:numPr>
        <w:ilvl w:val="0"/>
        <w:numId w:val="16"/>
      </w:numPr>
      <w:autoSpaceDE w:val="0"/>
      <w:autoSpaceDN w:val="0"/>
    </w:pPr>
    <w:rPr>
      <w:rFonts w:hint="eastAsia" w:ascii="宋体" w:eastAsia="宋体"/>
      <w:kern w:val="0"/>
      <w:sz w:val="18"/>
      <w:szCs w:val="18"/>
    </w:rPr>
  </w:style>
  <w:style w:type="paragraph" w:customStyle="1" w:styleId="50">
    <w:name w:val="ds-markdown-paragraph"/>
    <w:basedOn w:val="1"/>
    <w:qFormat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24</Pages>
  <Words>7042</Words>
  <Characters>7318</Characters>
  <Lines>666</Lines>
  <Paragraphs>771</Paragraphs>
  <TotalTime>21</TotalTime>
  <ScaleCrop>false</ScaleCrop>
  <LinksUpToDate>false</LinksUpToDate>
  <CharactersWithSpaces>7412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2025-02-19T02:46:00Z</dcterms:created>
  <dc:creator>USER</dc:creator>
  <cp:lastModifiedBy>XIEX</cp:lastModifiedBy>
  <cp:lastPrinted>2025-01-15T04:51:00Z</cp:lastPrinted>
  <dcterms:modified xsi:type="dcterms:W3CDTF">2025-09-04T12:54:30Z</dcterms:modified>
  <dc:title>广西地方标准《脱氢枞酸》（征求意见稿）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5FAC6B0E9A2C4B59A12644F9C27EB80D_13</vt:lpwstr>
  </property>
  <property fmtid="{D5CDD505-2E9C-101B-9397-08002B2CF9AE}" pid="4" name="KSOTemplateDocerSaveRecord">
    <vt:lpwstr>eyJoZGlkIjoiNmU0OWNhMGUyYzc2MTI5ZWY2NzM4MTVkMDAwODg0YzMiLCJ1c2VySWQiOiI2ODM5ODUzMDMifQ==</vt:lpwstr>
  </property>
</Properties>
</file>